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C2" w:rsidRPr="001B6BBA" w:rsidRDefault="00A44AC2" w:rsidP="00E536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Cs w:val="20"/>
        </w:rPr>
      </w:pPr>
      <w:r w:rsidRPr="001B6BBA">
        <w:rPr>
          <w:rFonts w:ascii="TimesNewRomanPSMT" w:hAnsi="TimesNewRomanPSMT" w:cs="TimesNewRomanPSMT"/>
          <w:b/>
          <w:color w:val="000000"/>
          <w:szCs w:val="20"/>
        </w:rPr>
        <w:t>Academia de Studii Economice din Bucureşti</w:t>
      </w:r>
    </w:p>
    <w:p w:rsidR="00A44AC2" w:rsidRDefault="00A44AC2" w:rsidP="00E536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Cs w:val="20"/>
        </w:rPr>
      </w:pPr>
      <w:r w:rsidRPr="001B6BBA">
        <w:rPr>
          <w:rFonts w:ascii="TimesNewRomanPSMT" w:hAnsi="TimesNewRomanPSMT" w:cs="TimesNewRomanPSMT"/>
          <w:b/>
          <w:color w:val="000000"/>
          <w:szCs w:val="20"/>
        </w:rPr>
        <w:t xml:space="preserve">Facultatea </w:t>
      </w:r>
      <w:r>
        <w:rPr>
          <w:rFonts w:ascii="TimesNewRomanPSMT" w:hAnsi="TimesNewRomanPSMT" w:cs="TimesNewRomanPSMT"/>
          <w:b/>
          <w:color w:val="000000"/>
          <w:szCs w:val="20"/>
        </w:rPr>
        <w:t>Contabilitate și Informatică de Gestiune</w:t>
      </w:r>
    </w:p>
    <w:p w:rsidR="001253A6" w:rsidRPr="001B6BBA" w:rsidRDefault="001253A6" w:rsidP="00E5365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Rezultatele concursului pentru acordarea gradațiilor de merit – octombrie 2021</w:t>
      </w:r>
    </w:p>
    <w:p w:rsidR="00F97FB1" w:rsidRPr="001B6BBA" w:rsidRDefault="00F97FB1" w:rsidP="00E5365D">
      <w:pPr>
        <w:autoSpaceDE w:val="0"/>
        <w:autoSpaceDN w:val="0"/>
        <w:adjustRightInd w:val="0"/>
        <w:rPr>
          <w:b/>
          <w:i/>
          <w:iCs/>
          <w:strike/>
          <w:color w:val="000000"/>
          <w:szCs w:val="20"/>
        </w:rPr>
      </w:pP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</w:r>
      <w:r w:rsidRPr="001B6BBA">
        <w:rPr>
          <w:b/>
          <w:i/>
          <w:iCs/>
          <w:color w:val="000000"/>
          <w:szCs w:val="20"/>
        </w:rPr>
        <w:tab/>
        <w:t>Anexa 5</w:t>
      </w:r>
      <w:r w:rsidRPr="001B6BBA">
        <w:rPr>
          <w:b/>
          <w:i/>
          <w:iCs/>
          <w:strike/>
          <w:color w:val="000000"/>
          <w:szCs w:val="20"/>
        </w:rPr>
        <w:t xml:space="preserve"> </w:t>
      </w:r>
    </w:p>
    <w:p w:rsidR="00F97FB1" w:rsidRPr="001B6BBA" w:rsidRDefault="00F97FB1" w:rsidP="00F97FB1">
      <w:pPr>
        <w:spacing w:before="120" w:line="276" w:lineRule="auto"/>
        <w:jc w:val="center"/>
        <w:rPr>
          <w:b/>
          <w:color w:val="000000"/>
          <w:szCs w:val="20"/>
        </w:rPr>
      </w:pPr>
      <w:r w:rsidRPr="001B6BBA">
        <w:rPr>
          <w:b/>
          <w:color w:val="000000"/>
          <w:szCs w:val="20"/>
        </w:rPr>
        <w:t xml:space="preserve">RAPORTUL COMISIEI DE </w:t>
      </w:r>
      <w:r w:rsidR="006A52F2">
        <w:rPr>
          <w:b/>
          <w:color w:val="000000"/>
          <w:szCs w:val="20"/>
        </w:rPr>
        <w:t>SOLUȚIONARE A CONTESTAȚIILOR</w:t>
      </w:r>
    </w:p>
    <w:p w:rsidR="00F97FB1" w:rsidRPr="001B6BBA" w:rsidRDefault="00F97FB1" w:rsidP="00F97FB1">
      <w:pPr>
        <w:spacing w:before="120" w:line="276" w:lineRule="auto"/>
        <w:jc w:val="center"/>
        <w:rPr>
          <w:b/>
          <w:color w:val="00000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02"/>
        <w:gridCol w:w="1320"/>
        <w:gridCol w:w="1394"/>
        <w:gridCol w:w="1172"/>
        <w:gridCol w:w="1301"/>
        <w:gridCol w:w="994"/>
        <w:gridCol w:w="1471"/>
        <w:gridCol w:w="847"/>
        <w:gridCol w:w="848"/>
        <w:gridCol w:w="3506"/>
      </w:tblGrid>
      <w:tr w:rsidR="006A52F2" w:rsidRPr="001B6BBA" w:rsidTr="0030647F">
        <w:trPr>
          <w:cantSplit/>
          <w:tblHeader/>
          <w:jc w:val="center"/>
        </w:trPr>
        <w:tc>
          <w:tcPr>
            <w:tcW w:w="568" w:type="dxa"/>
            <w:shd w:val="clear" w:color="auto" w:fill="auto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614" w:type="dxa"/>
            <w:shd w:val="clear" w:color="auto" w:fill="auto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Nume şi prenume</w:t>
            </w:r>
          </w:p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Grad didactic</w:t>
            </w:r>
          </w:p>
        </w:tc>
        <w:tc>
          <w:tcPr>
            <w:tcW w:w="1395" w:type="dxa"/>
            <w:shd w:val="clear" w:color="auto" w:fill="auto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Departament</w:t>
            </w:r>
          </w:p>
        </w:tc>
        <w:tc>
          <w:tcPr>
            <w:tcW w:w="1094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Îndeplinire standarde minimale</w:t>
            </w:r>
          </w:p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1306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Punctaj pentru activitatea științifică în ultimii 5 ani</w:t>
            </w:r>
          </w:p>
        </w:tc>
        <w:tc>
          <w:tcPr>
            <w:tcW w:w="998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Puncte merit</w:t>
            </w:r>
          </w:p>
        </w:tc>
        <w:tc>
          <w:tcPr>
            <w:tcW w:w="1476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Punctaj pentru</w:t>
            </w:r>
          </w:p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implicarea în rezolvarea problemelor comunității academice</w:t>
            </w:r>
          </w:p>
        </w:tc>
        <w:tc>
          <w:tcPr>
            <w:tcW w:w="848" w:type="dxa"/>
            <w:shd w:val="clear" w:color="auto" w:fill="auto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Puncte merit</w:t>
            </w:r>
          </w:p>
        </w:tc>
        <w:tc>
          <w:tcPr>
            <w:tcW w:w="849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Total puncte merit</w:t>
            </w:r>
          </w:p>
        </w:tc>
        <w:tc>
          <w:tcPr>
            <w:tcW w:w="3551" w:type="dxa"/>
          </w:tcPr>
          <w:p w:rsidR="00F97FB1" w:rsidRPr="0030647F" w:rsidRDefault="00F97FB1" w:rsidP="006F71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30647F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Observaţii</w:t>
            </w:r>
          </w:p>
        </w:tc>
      </w:tr>
      <w:tr w:rsidR="006A52F2" w:rsidRPr="006A52F2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EE57B9" w:rsidRPr="006A52F2" w:rsidRDefault="00AA0D2E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4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Albu Cătălin Nicolae</w:t>
            </w:r>
          </w:p>
        </w:tc>
        <w:tc>
          <w:tcPr>
            <w:tcW w:w="1322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38,6680</w:t>
            </w:r>
          </w:p>
        </w:tc>
        <w:tc>
          <w:tcPr>
            <w:tcW w:w="998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76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848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849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66,15</w:t>
            </w:r>
          </w:p>
        </w:tc>
        <w:tc>
          <w:tcPr>
            <w:tcW w:w="3551" w:type="dxa"/>
          </w:tcPr>
          <w:p w:rsidR="00EE57B9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neîntemeiată. Dispune menținerea punctajului pentru activitatea științifică în ultimii 5 ani la 38,6680 puncte.</w:t>
            </w:r>
          </w:p>
        </w:tc>
      </w:tr>
      <w:tr w:rsidR="006A52F2" w:rsidRPr="001B6BBA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EE57B9" w:rsidRPr="001B6BBA" w:rsidRDefault="00AA0D2E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  <w:r w:rsidR="00EE57B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Albu Nadia</w:t>
            </w:r>
          </w:p>
        </w:tc>
        <w:tc>
          <w:tcPr>
            <w:tcW w:w="1322" w:type="dxa"/>
            <w:shd w:val="clear" w:color="auto" w:fill="auto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33,3880</w:t>
            </w:r>
          </w:p>
        </w:tc>
        <w:tc>
          <w:tcPr>
            <w:tcW w:w="998" w:type="dxa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1476" w:type="dxa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48" w:type="dxa"/>
            <w:shd w:val="clear" w:color="auto" w:fill="auto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849" w:type="dxa"/>
          </w:tcPr>
          <w:p w:rsidR="00EE57B9" w:rsidRPr="001B6BBA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61,09</w:t>
            </w:r>
          </w:p>
        </w:tc>
        <w:tc>
          <w:tcPr>
            <w:tcW w:w="3551" w:type="dxa"/>
          </w:tcPr>
          <w:p w:rsidR="00EE57B9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neîntemeiată. Dispune menținerea punctajului pentru activitatea științifică în ultimii 5 ani la 33,3880 puncte.</w:t>
            </w:r>
          </w:p>
        </w:tc>
      </w:tr>
      <w:tr w:rsidR="006A52F2" w:rsidRPr="006A52F2" w:rsidTr="0030647F">
        <w:trPr>
          <w:cantSplit/>
          <w:trHeight w:val="2094"/>
          <w:jc w:val="center"/>
        </w:trPr>
        <w:tc>
          <w:tcPr>
            <w:tcW w:w="568" w:type="dxa"/>
            <w:shd w:val="clear" w:color="auto" w:fill="auto"/>
          </w:tcPr>
          <w:p w:rsidR="00EE57B9" w:rsidRPr="006A52F2" w:rsidRDefault="00AA0D2E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Calu Daniela Artemisa</w:t>
            </w:r>
          </w:p>
        </w:tc>
        <w:tc>
          <w:tcPr>
            <w:tcW w:w="1322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EE57B9" w:rsidRPr="006A52F2" w:rsidRDefault="006A52F2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11,3091</w:t>
            </w:r>
          </w:p>
        </w:tc>
        <w:tc>
          <w:tcPr>
            <w:tcW w:w="998" w:type="dxa"/>
          </w:tcPr>
          <w:p w:rsidR="00EE57B9" w:rsidRPr="006A52F2" w:rsidRDefault="006A52F2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14,</w:t>
            </w:r>
            <w:r w:rsidR="0071710C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476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sz w:val="20"/>
                <w:szCs w:val="20"/>
              </w:rPr>
              <w:t>71,00</w:t>
            </w:r>
          </w:p>
        </w:tc>
        <w:tc>
          <w:tcPr>
            <w:tcW w:w="848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849" w:type="dxa"/>
          </w:tcPr>
          <w:p w:rsidR="00EE57B9" w:rsidRPr="006A52F2" w:rsidRDefault="0071710C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22,47</w:t>
            </w:r>
          </w:p>
        </w:tc>
        <w:tc>
          <w:tcPr>
            <w:tcW w:w="3551" w:type="dxa"/>
          </w:tcPr>
          <w:p w:rsidR="00EE57B9" w:rsidRPr="006A52F2" w:rsidRDefault="006A52F2" w:rsidP="006A52F2">
            <w:pPr>
              <w:rPr>
                <w:sz w:val="20"/>
                <w:szCs w:val="20"/>
              </w:rPr>
            </w:pPr>
            <w:r w:rsidRPr="006A52F2">
              <w:rPr>
                <w:color w:val="000000"/>
                <w:sz w:val="20"/>
                <w:szCs w:val="20"/>
              </w:rPr>
              <w:t>Comisia admite contestația nr. 1021/19.10.2021. D</w:t>
            </w:r>
            <w:r w:rsidRPr="006A52F2">
              <w:rPr>
                <w:sz w:val="20"/>
                <w:szCs w:val="20"/>
              </w:rPr>
              <w:t>ispune modificarea punctajului total S = P + C de la 12,0590 puncte la 11,3091 puncte. Dispune recalcularea punctajului de merit aferent punctajului pentru activitatea științifică din ultimii 5 ani (anexa 3) de la 15,59 puncte de merit la 14,</w:t>
            </w:r>
            <w:r w:rsidR="0071710C">
              <w:rPr>
                <w:sz w:val="20"/>
                <w:szCs w:val="20"/>
              </w:rPr>
              <w:t>62</w:t>
            </w:r>
            <w:r w:rsidRPr="006A52F2">
              <w:rPr>
                <w:sz w:val="20"/>
                <w:szCs w:val="20"/>
              </w:rPr>
              <w:t xml:space="preserve"> puncte de merit, cu consecința modificării punctajului total de merit de la 23,44 puncte de merit la 22,</w:t>
            </w:r>
            <w:r w:rsidR="0071710C">
              <w:rPr>
                <w:sz w:val="20"/>
                <w:szCs w:val="20"/>
              </w:rPr>
              <w:t>47</w:t>
            </w:r>
            <w:r w:rsidRPr="006A52F2">
              <w:rPr>
                <w:sz w:val="20"/>
                <w:szCs w:val="20"/>
              </w:rPr>
              <w:t xml:space="preserve"> puncte de merit.</w:t>
            </w:r>
          </w:p>
        </w:tc>
      </w:tr>
      <w:tr w:rsidR="006A52F2" w:rsidRPr="006A52F2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EE57B9" w:rsidRPr="006A52F2" w:rsidRDefault="00AA0D2E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14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Duțescu Adriana</w:t>
            </w:r>
          </w:p>
        </w:tc>
        <w:tc>
          <w:tcPr>
            <w:tcW w:w="1322" w:type="dxa"/>
            <w:shd w:val="clear" w:color="auto" w:fill="auto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EE57B9" w:rsidRPr="006A52F2" w:rsidRDefault="00EE57B9" w:rsidP="00EE57B9"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EE57B9" w:rsidRPr="006A52F2" w:rsidRDefault="00EE57B9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EE57B9" w:rsidRPr="0071710C" w:rsidRDefault="006A52F2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71710C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11,0848</w:t>
            </w:r>
          </w:p>
        </w:tc>
        <w:tc>
          <w:tcPr>
            <w:tcW w:w="998" w:type="dxa"/>
          </w:tcPr>
          <w:p w:rsidR="00EE57B9" w:rsidRPr="0071710C" w:rsidRDefault="006A52F2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71710C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14,33</w:t>
            </w:r>
          </w:p>
        </w:tc>
        <w:tc>
          <w:tcPr>
            <w:tcW w:w="1476" w:type="dxa"/>
          </w:tcPr>
          <w:p w:rsidR="00EE57B9" w:rsidRPr="006A52F2" w:rsidRDefault="00D568B3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sz w:val="20"/>
                <w:szCs w:val="20"/>
              </w:rPr>
              <w:t>61,50</w:t>
            </w:r>
          </w:p>
        </w:tc>
        <w:tc>
          <w:tcPr>
            <w:tcW w:w="848" w:type="dxa"/>
            <w:shd w:val="clear" w:color="auto" w:fill="auto"/>
          </w:tcPr>
          <w:p w:rsidR="00EE57B9" w:rsidRPr="006A52F2" w:rsidRDefault="00D568B3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sz w:val="20"/>
                <w:szCs w:val="20"/>
              </w:rPr>
              <w:t>6,80</w:t>
            </w:r>
          </w:p>
        </w:tc>
        <w:tc>
          <w:tcPr>
            <w:tcW w:w="849" w:type="dxa"/>
          </w:tcPr>
          <w:p w:rsidR="00EE57B9" w:rsidRPr="006A52F2" w:rsidRDefault="006A52F2" w:rsidP="00EE57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1710C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>21,13</w:t>
            </w:r>
          </w:p>
        </w:tc>
        <w:tc>
          <w:tcPr>
            <w:tcW w:w="3551" w:type="dxa"/>
          </w:tcPr>
          <w:p w:rsidR="00EE57B9" w:rsidRPr="006A52F2" w:rsidRDefault="006A52F2" w:rsidP="006A52F2">
            <w:pPr>
              <w:rPr>
                <w:sz w:val="20"/>
                <w:szCs w:val="20"/>
              </w:rPr>
            </w:pPr>
            <w:r w:rsidRPr="006A52F2">
              <w:rPr>
                <w:color w:val="000000"/>
                <w:sz w:val="20"/>
                <w:szCs w:val="20"/>
              </w:rPr>
              <w:t>Comisia admite contestația nr. 1021/19.10.2021. D</w:t>
            </w:r>
            <w:r w:rsidRPr="006A52F2">
              <w:rPr>
                <w:sz w:val="20"/>
                <w:szCs w:val="20"/>
              </w:rPr>
              <w:t xml:space="preserve">ispune modificarea punctajului total </w:t>
            </w:r>
            <w:r>
              <w:rPr>
                <w:sz w:val="20"/>
                <w:szCs w:val="20"/>
              </w:rPr>
              <w:t>S = P + C de la 14,2680 puncte la 11,0848 puncte. Dispune recalcularea punctajului de merit aferent Anexei 3 de la 17,05 puncte de merit la 14,33 puncte de merit, cu consecința modificării punctajului total de merit de la 23,85 puncte de merit la 21,13 puncte de merit.</w:t>
            </w:r>
          </w:p>
        </w:tc>
      </w:tr>
      <w:tr w:rsidR="006A52F2" w:rsidRPr="001B6BBA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AA0D2E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14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Ioanăș Corina</w:t>
            </w:r>
          </w:p>
        </w:tc>
        <w:tc>
          <w:tcPr>
            <w:tcW w:w="1322" w:type="dxa"/>
            <w:shd w:val="clear" w:color="auto" w:fill="auto"/>
          </w:tcPr>
          <w:p w:rsidR="00AA0D2E" w:rsidRPr="00332328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AA0D2E" w:rsidRPr="00FE212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E212A">
              <w:rPr>
                <w:rFonts w:ascii="TimesNewRomanPSMT" w:hAnsi="TimesNewRomanPSMT" w:cs="TimesNewRomanPSMT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AA0D2E" w:rsidRPr="00FE212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13,978</w:t>
            </w:r>
          </w:p>
        </w:tc>
        <w:tc>
          <w:tcPr>
            <w:tcW w:w="998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147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6,00</w:t>
            </w:r>
          </w:p>
        </w:tc>
        <w:tc>
          <w:tcPr>
            <w:tcW w:w="84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849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18,73</w:t>
            </w:r>
          </w:p>
        </w:tc>
        <w:tc>
          <w:tcPr>
            <w:tcW w:w="3551" w:type="dxa"/>
          </w:tcPr>
          <w:p w:rsidR="00AA0D2E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lipsită de interes</w:t>
            </w:r>
          </w:p>
        </w:tc>
      </w:tr>
      <w:tr w:rsidR="006A52F2" w:rsidRPr="001B6BBA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AA0D2E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4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Ionașcu Ion</w:t>
            </w:r>
          </w:p>
        </w:tc>
        <w:tc>
          <w:tcPr>
            <w:tcW w:w="1322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11,9994</w:t>
            </w:r>
          </w:p>
        </w:tc>
        <w:tc>
          <w:tcPr>
            <w:tcW w:w="998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147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4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49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3551" w:type="dxa"/>
          </w:tcPr>
          <w:p w:rsidR="00AA0D2E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lipsită de interes</w:t>
            </w:r>
          </w:p>
        </w:tc>
      </w:tr>
      <w:tr w:rsidR="006A52F2" w:rsidRPr="001B6BBA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14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Ioneascu-Feleagă Liliana</w:t>
            </w:r>
          </w:p>
        </w:tc>
        <w:tc>
          <w:tcPr>
            <w:tcW w:w="1322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17,5326</w:t>
            </w:r>
          </w:p>
        </w:tc>
        <w:tc>
          <w:tcPr>
            <w:tcW w:w="998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7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452,00</w:t>
            </w:r>
          </w:p>
        </w:tc>
        <w:tc>
          <w:tcPr>
            <w:tcW w:w="84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9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3551" w:type="dxa"/>
          </w:tcPr>
          <w:p w:rsidR="00AA0D2E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neîntemeiată. Dispune păstrarea punctajului pentru activitatea științifică în ultimii 5 ani la 17,5326 puncte.</w:t>
            </w:r>
          </w:p>
        </w:tc>
      </w:tr>
      <w:tr w:rsidR="006A52F2" w:rsidRPr="001B6BBA" w:rsidTr="0030647F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14" w:type="dxa"/>
            <w:shd w:val="clear" w:color="auto" w:fill="auto"/>
          </w:tcPr>
          <w:p w:rsidR="00AA0D2E" w:rsidRPr="003F3E6F" w:rsidRDefault="00AA0D2E" w:rsidP="00AA0D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MD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MD"/>
              </w:rPr>
              <w:t>Ștefănescu Aurelia</w:t>
            </w:r>
          </w:p>
        </w:tc>
        <w:tc>
          <w:tcPr>
            <w:tcW w:w="1322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Prof.univ.dr.</w:t>
            </w:r>
          </w:p>
        </w:tc>
        <w:tc>
          <w:tcPr>
            <w:tcW w:w="1395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Contabilitate și Audit</w:t>
            </w:r>
          </w:p>
        </w:tc>
        <w:tc>
          <w:tcPr>
            <w:tcW w:w="1094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30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8,5336  </w:t>
            </w:r>
          </w:p>
        </w:tc>
        <w:tc>
          <w:tcPr>
            <w:tcW w:w="998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1476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54,00</w:t>
            </w:r>
          </w:p>
        </w:tc>
        <w:tc>
          <w:tcPr>
            <w:tcW w:w="848" w:type="dxa"/>
            <w:shd w:val="clear" w:color="auto" w:fill="auto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849" w:type="dxa"/>
          </w:tcPr>
          <w:p w:rsidR="00AA0D2E" w:rsidRPr="001B6BBA" w:rsidRDefault="00AA0D2E" w:rsidP="00AA0D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3551" w:type="dxa"/>
          </w:tcPr>
          <w:p w:rsidR="00AA0D2E" w:rsidRPr="006A52F2" w:rsidRDefault="006A52F2" w:rsidP="006A52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A52F2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Comisia respinge contestația nr. 1021/19.10.2021 ca lipsită de interes</w:t>
            </w:r>
          </w:p>
        </w:tc>
      </w:tr>
    </w:tbl>
    <w:p w:rsidR="00F97FB1" w:rsidRPr="001B6BBA" w:rsidRDefault="00F97FB1" w:rsidP="006F71BC">
      <w:pPr>
        <w:jc w:val="center"/>
        <w:rPr>
          <w:color w:val="000000"/>
          <w:szCs w:val="20"/>
        </w:rPr>
      </w:pPr>
    </w:p>
    <w:p w:rsidR="00F97FB1" w:rsidRPr="001B6BBA" w:rsidRDefault="00F97FB1" w:rsidP="006F71BC">
      <w:pPr>
        <w:jc w:val="both"/>
        <w:rPr>
          <w:color w:val="000000"/>
          <w:szCs w:val="20"/>
        </w:rPr>
      </w:pP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  <w:t>Dată</w:t>
      </w:r>
      <w:r w:rsidR="00C62A5F">
        <w:rPr>
          <w:color w:val="000000"/>
          <w:szCs w:val="20"/>
        </w:rPr>
        <w:t xml:space="preserve">: </w:t>
      </w:r>
      <w:r w:rsidR="006A52F2">
        <w:rPr>
          <w:color w:val="000000"/>
          <w:szCs w:val="20"/>
        </w:rPr>
        <w:t>22</w:t>
      </w:r>
      <w:r w:rsidR="00C62A5F">
        <w:rPr>
          <w:color w:val="000000"/>
          <w:szCs w:val="20"/>
        </w:rPr>
        <w:t>.10.2021</w:t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  <w:t>Semnătură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73"/>
      </w:tblGrid>
      <w:tr w:rsidR="006A52F2" w:rsidRPr="001B6BBA" w:rsidTr="00887CCC">
        <w:trPr>
          <w:jc w:val="center"/>
        </w:trPr>
        <w:tc>
          <w:tcPr>
            <w:tcW w:w="11873" w:type="dxa"/>
            <w:shd w:val="clear" w:color="auto" w:fill="auto"/>
          </w:tcPr>
          <w:p w:rsidR="006A52F2" w:rsidRPr="00222D8D" w:rsidRDefault="006A52F2" w:rsidP="006A52F2">
            <w:pPr>
              <w:spacing w:line="360" w:lineRule="auto"/>
              <w:rPr>
                <w:sz w:val="22"/>
                <w:szCs w:val="20"/>
              </w:rPr>
            </w:pPr>
            <w:r w:rsidRPr="00222D8D">
              <w:rPr>
                <w:sz w:val="22"/>
                <w:szCs w:val="20"/>
              </w:rPr>
              <w:t>Comisia de soluționare a contestațiilor</w:t>
            </w:r>
          </w:p>
          <w:p w:rsidR="006A52F2" w:rsidRPr="00222D8D" w:rsidRDefault="006A52F2" w:rsidP="006A52F2">
            <w:pPr>
              <w:spacing w:line="360" w:lineRule="auto"/>
              <w:rPr>
                <w:sz w:val="22"/>
                <w:szCs w:val="20"/>
                <w:u w:val="single"/>
              </w:rPr>
            </w:pPr>
            <w:r w:rsidRPr="00222D8D">
              <w:rPr>
                <w:sz w:val="22"/>
                <w:szCs w:val="20"/>
              </w:rPr>
              <w:t>Președinte: Prorector, Conf.univ.dr. Dan – Gabriel DUMITRESCU</w:t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</w:p>
          <w:p w:rsidR="006A52F2" w:rsidRPr="00222D8D" w:rsidRDefault="006A52F2" w:rsidP="006A52F2">
            <w:pPr>
              <w:spacing w:line="360" w:lineRule="auto"/>
              <w:rPr>
                <w:sz w:val="22"/>
                <w:szCs w:val="20"/>
                <w:u w:val="single"/>
              </w:rPr>
            </w:pPr>
            <w:r w:rsidRPr="00222D8D">
              <w:rPr>
                <w:sz w:val="22"/>
                <w:szCs w:val="20"/>
              </w:rPr>
              <w:t>Membru: Prof.univ.dr. Marian SĂCĂRIN</w:t>
            </w:r>
            <w:r w:rsidRPr="00222D8D">
              <w:rPr>
                <w:sz w:val="22"/>
                <w:szCs w:val="20"/>
              </w:rPr>
              <w:tab/>
            </w:r>
            <w:r w:rsidRPr="00222D8D">
              <w:rPr>
                <w:sz w:val="22"/>
                <w:szCs w:val="20"/>
              </w:rPr>
              <w:tab/>
            </w:r>
            <w:r w:rsidRPr="00222D8D">
              <w:rPr>
                <w:sz w:val="22"/>
                <w:szCs w:val="20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</w:p>
          <w:p w:rsidR="006A52F2" w:rsidRPr="001B6BBA" w:rsidRDefault="006A52F2" w:rsidP="00146DD9">
            <w:pPr>
              <w:spacing w:line="360" w:lineRule="auto"/>
              <w:rPr>
                <w:color w:val="000000"/>
                <w:szCs w:val="20"/>
              </w:rPr>
            </w:pPr>
            <w:r w:rsidRPr="00222D8D">
              <w:rPr>
                <w:sz w:val="22"/>
                <w:szCs w:val="20"/>
              </w:rPr>
              <w:t>Membru: Șef Birou Evaluare Academică, Gabriela ZAMFIR</w:t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r w:rsidRPr="00222D8D">
              <w:rPr>
                <w:sz w:val="22"/>
                <w:szCs w:val="20"/>
                <w:u w:val="single"/>
              </w:rPr>
              <w:tab/>
            </w:r>
            <w:bookmarkStart w:id="0" w:name="_GoBack"/>
            <w:bookmarkEnd w:id="0"/>
          </w:p>
        </w:tc>
      </w:tr>
    </w:tbl>
    <w:p w:rsidR="005514BA" w:rsidRDefault="005514BA" w:rsidP="00146DD9">
      <w:pPr>
        <w:spacing w:before="120" w:line="276" w:lineRule="auto"/>
      </w:pPr>
    </w:p>
    <w:sectPr w:rsidR="005514BA" w:rsidSect="00F56C6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B1"/>
    <w:rsid w:val="0001189E"/>
    <w:rsid w:val="00050D07"/>
    <w:rsid w:val="00074D25"/>
    <w:rsid w:val="000755DC"/>
    <w:rsid w:val="00091A58"/>
    <w:rsid w:val="000B1A33"/>
    <w:rsid w:val="000C0237"/>
    <w:rsid w:val="000C2AB7"/>
    <w:rsid w:val="000E4E3E"/>
    <w:rsid w:val="001058D0"/>
    <w:rsid w:val="001253A6"/>
    <w:rsid w:val="00146DD9"/>
    <w:rsid w:val="001506E9"/>
    <w:rsid w:val="001A6BA7"/>
    <w:rsid w:val="001B47E6"/>
    <w:rsid w:val="001D0D53"/>
    <w:rsid w:val="001D1AC6"/>
    <w:rsid w:val="001E3836"/>
    <w:rsid w:val="0020199F"/>
    <w:rsid w:val="00210C3F"/>
    <w:rsid w:val="00230ED0"/>
    <w:rsid w:val="00235FE3"/>
    <w:rsid w:val="002400B6"/>
    <w:rsid w:val="0028616E"/>
    <w:rsid w:val="002B4B6B"/>
    <w:rsid w:val="002D1338"/>
    <w:rsid w:val="002F2FCA"/>
    <w:rsid w:val="00302D3C"/>
    <w:rsid w:val="0030647F"/>
    <w:rsid w:val="00311164"/>
    <w:rsid w:val="003114EC"/>
    <w:rsid w:val="00312A56"/>
    <w:rsid w:val="00332328"/>
    <w:rsid w:val="00333FB5"/>
    <w:rsid w:val="003375F5"/>
    <w:rsid w:val="003500F4"/>
    <w:rsid w:val="0035394F"/>
    <w:rsid w:val="003833B0"/>
    <w:rsid w:val="003B7CDD"/>
    <w:rsid w:val="003D1753"/>
    <w:rsid w:val="003E6646"/>
    <w:rsid w:val="003F3E6F"/>
    <w:rsid w:val="003F66B8"/>
    <w:rsid w:val="004210C8"/>
    <w:rsid w:val="0044686D"/>
    <w:rsid w:val="00455508"/>
    <w:rsid w:val="00476885"/>
    <w:rsid w:val="004B242F"/>
    <w:rsid w:val="004C4C1E"/>
    <w:rsid w:val="004D354E"/>
    <w:rsid w:val="00502EE4"/>
    <w:rsid w:val="00510B3D"/>
    <w:rsid w:val="00541C76"/>
    <w:rsid w:val="0054282C"/>
    <w:rsid w:val="005514BA"/>
    <w:rsid w:val="00567F33"/>
    <w:rsid w:val="00574B62"/>
    <w:rsid w:val="00584B4C"/>
    <w:rsid w:val="005937C6"/>
    <w:rsid w:val="005A361C"/>
    <w:rsid w:val="0060635D"/>
    <w:rsid w:val="006206DA"/>
    <w:rsid w:val="0063287D"/>
    <w:rsid w:val="006363AE"/>
    <w:rsid w:val="006952B7"/>
    <w:rsid w:val="006A52F2"/>
    <w:rsid w:val="006D1FB0"/>
    <w:rsid w:val="006E5A79"/>
    <w:rsid w:val="006F0AF7"/>
    <w:rsid w:val="006F3DFD"/>
    <w:rsid w:val="006F71BC"/>
    <w:rsid w:val="0070223E"/>
    <w:rsid w:val="007170F6"/>
    <w:rsid w:val="0071710C"/>
    <w:rsid w:val="00731456"/>
    <w:rsid w:val="00747FAC"/>
    <w:rsid w:val="00760974"/>
    <w:rsid w:val="0078469F"/>
    <w:rsid w:val="007C4429"/>
    <w:rsid w:val="007C5C9C"/>
    <w:rsid w:val="007D12EC"/>
    <w:rsid w:val="007F0B8F"/>
    <w:rsid w:val="007F320C"/>
    <w:rsid w:val="00824E82"/>
    <w:rsid w:val="00847128"/>
    <w:rsid w:val="00861D03"/>
    <w:rsid w:val="00863064"/>
    <w:rsid w:val="00871A32"/>
    <w:rsid w:val="00883A87"/>
    <w:rsid w:val="008B226B"/>
    <w:rsid w:val="008F2C02"/>
    <w:rsid w:val="008F732C"/>
    <w:rsid w:val="00944BFD"/>
    <w:rsid w:val="009525BD"/>
    <w:rsid w:val="00960225"/>
    <w:rsid w:val="009642DA"/>
    <w:rsid w:val="009D0568"/>
    <w:rsid w:val="009D27A7"/>
    <w:rsid w:val="00A07847"/>
    <w:rsid w:val="00A44AC2"/>
    <w:rsid w:val="00A504A1"/>
    <w:rsid w:val="00A84E8C"/>
    <w:rsid w:val="00AA0D2E"/>
    <w:rsid w:val="00AB19FF"/>
    <w:rsid w:val="00AB73D8"/>
    <w:rsid w:val="00AC4B80"/>
    <w:rsid w:val="00B0729B"/>
    <w:rsid w:val="00B239E8"/>
    <w:rsid w:val="00B35250"/>
    <w:rsid w:val="00B447A6"/>
    <w:rsid w:val="00B86FD1"/>
    <w:rsid w:val="00BA2447"/>
    <w:rsid w:val="00BB0CB2"/>
    <w:rsid w:val="00BC6EC1"/>
    <w:rsid w:val="00BF0EF6"/>
    <w:rsid w:val="00C0565F"/>
    <w:rsid w:val="00C17CCB"/>
    <w:rsid w:val="00C247E2"/>
    <w:rsid w:val="00C62A5F"/>
    <w:rsid w:val="00C76285"/>
    <w:rsid w:val="00C861DC"/>
    <w:rsid w:val="00C92AA5"/>
    <w:rsid w:val="00C93119"/>
    <w:rsid w:val="00CB6705"/>
    <w:rsid w:val="00CD7D28"/>
    <w:rsid w:val="00CE6B2F"/>
    <w:rsid w:val="00CE6E99"/>
    <w:rsid w:val="00CF1260"/>
    <w:rsid w:val="00CF1F8F"/>
    <w:rsid w:val="00CF2756"/>
    <w:rsid w:val="00D134DA"/>
    <w:rsid w:val="00D27FF7"/>
    <w:rsid w:val="00D330CA"/>
    <w:rsid w:val="00D42205"/>
    <w:rsid w:val="00D568B3"/>
    <w:rsid w:val="00D57338"/>
    <w:rsid w:val="00DA21B0"/>
    <w:rsid w:val="00DA748B"/>
    <w:rsid w:val="00DB5375"/>
    <w:rsid w:val="00DE22A8"/>
    <w:rsid w:val="00E172C9"/>
    <w:rsid w:val="00E412A1"/>
    <w:rsid w:val="00E47EEF"/>
    <w:rsid w:val="00E5365D"/>
    <w:rsid w:val="00E57588"/>
    <w:rsid w:val="00E701EE"/>
    <w:rsid w:val="00E72836"/>
    <w:rsid w:val="00E756F7"/>
    <w:rsid w:val="00EB0F06"/>
    <w:rsid w:val="00EE0629"/>
    <w:rsid w:val="00EE5350"/>
    <w:rsid w:val="00EE57B9"/>
    <w:rsid w:val="00F101B6"/>
    <w:rsid w:val="00F24914"/>
    <w:rsid w:val="00F5477A"/>
    <w:rsid w:val="00F56C69"/>
    <w:rsid w:val="00F83F8F"/>
    <w:rsid w:val="00F97FB1"/>
    <w:rsid w:val="00FA350B"/>
    <w:rsid w:val="00FD5ED3"/>
    <w:rsid w:val="00FE1C03"/>
    <w:rsid w:val="00FE212A"/>
    <w:rsid w:val="00FE44CE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F605-A387-412A-9F21-28D9679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163A-3F6B-480D-A70D-5E2655A8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DUMITRESCU DAN-GABRIEL</cp:lastModifiedBy>
  <cp:revision>7</cp:revision>
  <cp:lastPrinted>2021-10-22T09:14:00Z</cp:lastPrinted>
  <dcterms:created xsi:type="dcterms:W3CDTF">2021-10-22T09:13:00Z</dcterms:created>
  <dcterms:modified xsi:type="dcterms:W3CDTF">2021-10-22T09:38:00Z</dcterms:modified>
</cp:coreProperties>
</file>