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93E13" w14:textId="1147FF52" w:rsidR="00D330E6" w:rsidRPr="004E5D6C" w:rsidRDefault="00FE0B1D" w:rsidP="00FE0B1D">
      <w:pPr>
        <w:pStyle w:val="Default"/>
        <w:tabs>
          <w:tab w:val="left" w:pos="-540"/>
          <w:tab w:val="left" w:pos="-360"/>
          <w:tab w:val="left" w:pos="329"/>
        </w:tabs>
        <w:ind w:firstLine="46"/>
        <w:jc w:val="center"/>
        <w:rPr>
          <w:b/>
          <w:color w:val="auto"/>
          <w:szCs w:val="22"/>
          <w:lang w:val="ro-RO"/>
        </w:rPr>
      </w:pPr>
      <w:r w:rsidRPr="004E5D6C">
        <w:rPr>
          <w:b/>
          <w:color w:val="auto"/>
          <w:lang w:val="ro-RO"/>
        </w:rPr>
        <w:t xml:space="preserve">TEME </w:t>
      </w:r>
      <w:r w:rsidR="00407855" w:rsidRPr="004E5D6C">
        <w:rPr>
          <w:b/>
          <w:color w:val="auto"/>
          <w:lang w:val="ro-RO"/>
        </w:rPr>
        <w:t>PROPUSE PENTRU LUCRAREA DE DISERTAȚIE</w:t>
      </w:r>
      <w:r w:rsidR="002527ED" w:rsidRPr="004E5D6C">
        <w:rPr>
          <w:b/>
          <w:color w:val="auto"/>
          <w:lang w:val="ro-RO"/>
        </w:rPr>
        <w:t xml:space="preserve"> </w:t>
      </w:r>
    </w:p>
    <w:p w14:paraId="416F44A8" w14:textId="5F5FEEBF" w:rsidR="00407855" w:rsidRPr="004E5D6C" w:rsidRDefault="00407855" w:rsidP="00FE0B1D">
      <w:pPr>
        <w:pStyle w:val="Default"/>
        <w:tabs>
          <w:tab w:val="left" w:pos="-540"/>
          <w:tab w:val="left" w:pos="-360"/>
          <w:tab w:val="left" w:pos="329"/>
        </w:tabs>
        <w:ind w:firstLine="46"/>
        <w:jc w:val="center"/>
        <w:rPr>
          <w:b/>
          <w:color w:val="auto"/>
          <w:szCs w:val="22"/>
          <w:lang w:val="ro-RO"/>
        </w:rPr>
      </w:pPr>
      <w:r w:rsidRPr="004E5D6C">
        <w:rPr>
          <w:b/>
          <w:color w:val="auto"/>
          <w:szCs w:val="22"/>
          <w:lang w:val="ro-RO"/>
        </w:rPr>
        <w:t>An universitar 202</w:t>
      </w:r>
      <w:r w:rsidR="0014110F" w:rsidRPr="004E5D6C">
        <w:rPr>
          <w:b/>
          <w:color w:val="auto"/>
          <w:szCs w:val="22"/>
          <w:lang w:val="ro-RO"/>
        </w:rPr>
        <w:t>6</w:t>
      </w:r>
      <w:r w:rsidRPr="004E5D6C">
        <w:rPr>
          <w:b/>
          <w:color w:val="auto"/>
          <w:szCs w:val="22"/>
          <w:lang w:val="ro-RO"/>
        </w:rPr>
        <w:t>-202</w:t>
      </w:r>
      <w:r w:rsidR="0014110F" w:rsidRPr="004E5D6C">
        <w:rPr>
          <w:b/>
          <w:color w:val="auto"/>
          <w:szCs w:val="22"/>
          <w:lang w:val="ro-RO"/>
        </w:rPr>
        <w:t>7</w:t>
      </w:r>
    </w:p>
    <w:p w14:paraId="4B6538D0" w14:textId="23773E8F" w:rsidR="0098134D" w:rsidRPr="004E5D6C" w:rsidRDefault="0098134D" w:rsidP="0098134D">
      <w:pPr>
        <w:pStyle w:val="Default"/>
        <w:tabs>
          <w:tab w:val="left" w:pos="-540"/>
          <w:tab w:val="left" w:pos="-360"/>
          <w:tab w:val="left" w:pos="329"/>
        </w:tabs>
        <w:ind w:firstLine="46"/>
        <w:jc w:val="center"/>
        <w:rPr>
          <w:b/>
          <w:color w:val="auto"/>
          <w:lang w:val="ro-RO"/>
        </w:rPr>
      </w:pPr>
      <w:r w:rsidRPr="004E5D6C">
        <w:rPr>
          <w:b/>
          <w:color w:val="auto"/>
          <w:lang w:val="ro-RO"/>
        </w:rPr>
        <w:t>MASTERAT</w:t>
      </w:r>
      <w:r w:rsidR="00336ED8">
        <w:rPr>
          <w:b/>
          <w:color w:val="auto"/>
          <w:lang w:val="ro-RO"/>
        </w:rPr>
        <w:t xml:space="preserve"> </w:t>
      </w:r>
      <w:r w:rsidRPr="004E5D6C">
        <w:rPr>
          <w:b/>
          <w:color w:val="auto"/>
          <w:lang w:val="ro-RO"/>
        </w:rPr>
        <w:t xml:space="preserve">-  </w:t>
      </w:r>
      <w:r w:rsidR="00336ED8">
        <w:rPr>
          <w:b/>
          <w:color w:val="auto"/>
          <w:lang w:val="ro-RO"/>
        </w:rPr>
        <w:t>CONTABILITATE, AUDIT ȘI INFORMATICĂ DE GESTIUNE (EN)</w:t>
      </w:r>
    </w:p>
    <w:p w14:paraId="481E345B" w14:textId="77777777" w:rsidR="004F0891" w:rsidRPr="004E5D6C" w:rsidRDefault="004F0891" w:rsidP="00FE0B1D">
      <w:pPr>
        <w:pStyle w:val="Default"/>
        <w:tabs>
          <w:tab w:val="left" w:pos="-540"/>
          <w:tab w:val="left" w:pos="-360"/>
          <w:tab w:val="left" w:pos="329"/>
        </w:tabs>
        <w:ind w:firstLine="46"/>
        <w:jc w:val="center"/>
        <w:rPr>
          <w:b/>
          <w:color w:val="auto"/>
          <w:szCs w:val="22"/>
          <w:lang w:val="ro-RO"/>
        </w:rPr>
      </w:pPr>
    </w:p>
    <w:p w14:paraId="5C8FE469" w14:textId="77777777" w:rsidR="00E956BC" w:rsidRPr="004E5D6C" w:rsidRDefault="00E956BC" w:rsidP="00E956BC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TableGrid"/>
        <w:tblW w:w="9047" w:type="dxa"/>
        <w:jc w:val="center"/>
        <w:tblLook w:val="04A0" w:firstRow="1" w:lastRow="0" w:firstColumn="1" w:lastColumn="0" w:noHBand="0" w:noVBand="1"/>
      </w:tblPr>
      <w:tblGrid>
        <w:gridCol w:w="582"/>
        <w:gridCol w:w="1888"/>
        <w:gridCol w:w="5128"/>
        <w:gridCol w:w="1449"/>
      </w:tblGrid>
      <w:tr w:rsidR="004E5D6C" w:rsidRPr="004E5D6C" w14:paraId="60C3975B" w14:textId="77777777" w:rsidTr="004F0891">
        <w:trPr>
          <w:trHeight w:val="897"/>
          <w:tblHeader/>
          <w:jc w:val="center"/>
        </w:trPr>
        <w:tc>
          <w:tcPr>
            <w:tcW w:w="582" w:type="dxa"/>
            <w:shd w:val="clear" w:color="auto" w:fill="D5DCE4" w:themeFill="text2" w:themeFillTint="33"/>
            <w:vAlign w:val="center"/>
          </w:tcPr>
          <w:p w14:paraId="173A6B56" w14:textId="78183856" w:rsidR="004F0891" w:rsidRPr="004E5D6C" w:rsidRDefault="004F0891" w:rsidP="004F0891">
            <w:pPr>
              <w:contextualSpacing/>
              <w:jc w:val="center"/>
              <w:rPr>
                <w:rFonts w:ascii="Constantia" w:hAnsi="Constantia" w:cs="Times New Roman"/>
                <w:b/>
                <w:sz w:val="20"/>
              </w:rPr>
            </w:pPr>
            <w:r w:rsidRPr="004E5D6C">
              <w:rPr>
                <w:rFonts w:ascii="Constantia" w:hAnsi="Constantia" w:cs="Times New Roman"/>
                <w:b/>
                <w:sz w:val="16"/>
                <w:szCs w:val="16"/>
              </w:rPr>
              <w:t>Nr. crt.</w:t>
            </w:r>
          </w:p>
        </w:tc>
        <w:tc>
          <w:tcPr>
            <w:tcW w:w="1888" w:type="dxa"/>
            <w:shd w:val="clear" w:color="auto" w:fill="D5DCE4" w:themeFill="text2" w:themeFillTint="33"/>
            <w:vAlign w:val="center"/>
          </w:tcPr>
          <w:p w14:paraId="3D574FD2" w14:textId="77777777" w:rsidR="004F0891" w:rsidRPr="004E5D6C" w:rsidRDefault="004F0891" w:rsidP="004F0891">
            <w:pPr>
              <w:contextualSpacing/>
              <w:jc w:val="center"/>
              <w:rPr>
                <w:rFonts w:ascii="Constantia" w:hAnsi="Constantia" w:cs="Times New Roman"/>
                <w:b/>
                <w:sz w:val="16"/>
                <w:szCs w:val="16"/>
              </w:rPr>
            </w:pPr>
            <w:r w:rsidRPr="004E5D6C">
              <w:rPr>
                <w:rFonts w:ascii="Constantia" w:hAnsi="Constantia" w:cs="Times New Roman"/>
                <w:b/>
                <w:sz w:val="16"/>
                <w:szCs w:val="16"/>
              </w:rPr>
              <w:t xml:space="preserve">Titlul didactic </w:t>
            </w:r>
          </w:p>
          <w:p w14:paraId="373477E4" w14:textId="599E1323" w:rsidR="004F0891" w:rsidRPr="004E5D6C" w:rsidRDefault="004F0891" w:rsidP="004F0891">
            <w:pPr>
              <w:contextualSpacing/>
              <w:jc w:val="center"/>
              <w:rPr>
                <w:rFonts w:ascii="Constantia" w:hAnsi="Constantia" w:cs="Times New Roman"/>
                <w:b/>
                <w:sz w:val="20"/>
              </w:rPr>
            </w:pPr>
            <w:r w:rsidRPr="004E5D6C">
              <w:rPr>
                <w:rFonts w:ascii="Constantia" w:hAnsi="Constantia" w:cs="Times New Roman"/>
                <w:b/>
                <w:sz w:val="16"/>
                <w:szCs w:val="16"/>
              </w:rPr>
              <w:t>Nume si prenume</w:t>
            </w:r>
          </w:p>
        </w:tc>
        <w:tc>
          <w:tcPr>
            <w:tcW w:w="5128" w:type="dxa"/>
            <w:shd w:val="clear" w:color="auto" w:fill="D5DCE4" w:themeFill="text2" w:themeFillTint="33"/>
            <w:vAlign w:val="center"/>
          </w:tcPr>
          <w:p w14:paraId="72E841C3" w14:textId="62BE4A56" w:rsidR="004F0891" w:rsidRPr="004E5D6C" w:rsidRDefault="004F0891" w:rsidP="004F0891">
            <w:pPr>
              <w:contextualSpacing/>
              <w:jc w:val="center"/>
              <w:rPr>
                <w:rFonts w:ascii="Constantia" w:hAnsi="Constantia" w:cs="Times New Roman"/>
                <w:b/>
                <w:sz w:val="20"/>
              </w:rPr>
            </w:pPr>
            <w:r w:rsidRPr="004E5D6C">
              <w:rPr>
                <w:rFonts w:ascii="Constantia" w:hAnsi="Constantia" w:cs="Times New Roman"/>
                <w:b/>
                <w:sz w:val="16"/>
                <w:szCs w:val="16"/>
              </w:rPr>
              <w:t>Temele propuse</w:t>
            </w:r>
          </w:p>
        </w:tc>
        <w:tc>
          <w:tcPr>
            <w:tcW w:w="1449" w:type="dxa"/>
            <w:shd w:val="clear" w:color="auto" w:fill="D5DCE4" w:themeFill="text2" w:themeFillTint="33"/>
            <w:vAlign w:val="center"/>
          </w:tcPr>
          <w:p w14:paraId="028417A5" w14:textId="77777777" w:rsidR="004F0891" w:rsidRPr="004E5D6C" w:rsidRDefault="004F0891" w:rsidP="004F0891">
            <w:pPr>
              <w:contextualSpacing/>
              <w:jc w:val="center"/>
              <w:rPr>
                <w:rFonts w:ascii="Constantia" w:hAnsi="Constantia" w:cs="Times New Roman"/>
                <w:b/>
                <w:sz w:val="16"/>
                <w:szCs w:val="16"/>
              </w:rPr>
            </w:pPr>
            <w:r w:rsidRPr="004E5D6C">
              <w:rPr>
                <w:rFonts w:ascii="Constantia" w:hAnsi="Constantia" w:cs="Times New Roman"/>
                <w:b/>
                <w:sz w:val="16"/>
                <w:szCs w:val="16"/>
              </w:rPr>
              <w:t>Capacitatea de coordonare</w:t>
            </w:r>
          </w:p>
          <w:p w14:paraId="6C785E39" w14:textId="2B6736EB" w:rsidR="004F0891" w:rsidRPr="004E5D6C" w:rsidRDefault="004F0891" w:rsidP="004F0891">
            <w:pPr>
              <w:contextualSpacing/>
              <w:jc w:val="center"/>
              <w:rPr>
                <w:rFonts w:ascii="Constantia" w:hAnsi="Constantia" w:cs="Times New Roman"/>
                <w:b/>
                <w:sz w:val="20"/>
              </w:rPr>
            </w:pPr>
            <w:r w:rsidRPr="004E5D6C">
              <w:rPr>
                <w:rFonts w:ascii="Constantia" w:hAnsi="Constantia" w:cs="Times New Roman"/>
                <w:b/>
                <w:sz w:val="16"/>
                <w:szCs w:val="16"/>
              </w:rPr>
              <w:t>(Min 3 – Max 1</w:t>
            </w:r>
            <w:r w:rsidR="00336ED8">
              <w:rPr>
                <w:rFonts w:ascii="Constantia" w:hAnsi="Constantia" w:cs="Times New Roman"/>
                <w:b/>
                <w:sz w:val="16"/>
                <w:szCs w:val="16"/>
              </w:rPr>
              <w:t>2</w:t>
            </w:r>
            <w:r w:rsidRPr="004E5D6C">
              <w:rPr>
                <w:rFonts w:ascii="Constantia" w:hAnsi="Constantia" w:cs="Times New Roman"/>
                <w:b/>
                <w:sz w:val="16"/>
                <w:szCs w:val="16"/>
              </w:rPr>
              <w:t>)</w:t>
            </w:r>
          </w:p>
        </w:tc>
      </w:tr>
      <w:tr w:rsidR="004E5D6C" w:rsidRPr="004E5D6C" w14:paraId="0499EE00" w14:textId="77777777" w:rsidTr="004F0891">
        <w:trPr>
          <w:trHeight w:val="1063"/>
          <w:jc w:val="center"/>
        </w:trPr>
        <w:tc>
          <w:tcPr>
            <w:tcW w:w="582" w:type="dxa"/>
          </w:tcPr>
          <w:p w14:paraId="4A927891" w14:textId="77777777" w:rsidR="00E0732D" w:rsidRPr="004E5D6C" w:rsidRDefault="00C774DB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4E5D6C">
              <w:rPr>
                <w:rFonts w:ascii="Constantia" w:hAnsi="Constantia" w:cs="Times New Roman"/>
                <w:b/>
              </w:rPr>
              <w:t>1.</w:t>
            </w:r>
          </w:p>
        </w:tc>
        <w:tc>
          <w:tcPr>
            <w:tcW w:w="1888" w:type="dxa"/>
          </w:tcPr>
          <w:p w14:paraId="5026B6CA" w14:textId="01E1789E" w:rsidR="00D72EE0" w:rsidRPr="004E5D6C" w:rsidRDefault="00336ED8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336ED8">
              <w:rPr>
                <w:rFonts w:ascii="Constantia" w:hAnsi="Constantia" w:cs="Times New Roman"/>
                <w:b/>
              </w:rPr>
              <w:t>Prof. univ. dr. Albu Nadia</w:t>
            </w:r>
          </w:p>
        </w:tc>
        <w:tc>
          <w:tcPr>
            <w:tcW w:w="5128" w:type="dxa"/>
          </w:tcPr>
          <w:p w14:paraId="3150BA56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1. Analysis of the degree of compliance with IFRS for companies listed on the Bucharest</w:t>
            </w:r>
          </w:p>
          <w:p w14:paraId="01094891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Stock Exchange</w:t>
            </w:r>
          </w:p>
          <w:p w14:paraId="5C31958D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2. Study on the consequences of applying IFRS in Romania: the case of listed companies</w:t>
            </w:r>
          </w:p>
          <w:p w14:paraId="754328DF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3. Analysis of the evolution of the use of IFRS globally</w:t>
            </w:r>
          </w:p>
          <w:p w14:paraId="2C83F8D6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4. Analysis of the processes for developing accounting standards and regulations</w:t>
            </w:r>
          </w:p>
          <w:p w14:paraId="5DEDED1A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5. Comparative study on the presentation of financial statements in accordance with IFRS</w:t>
            </w:r>
          </w:p>
          <w:p w14:paraId="0BADE39A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6. Amortizing or not the goodwill – accounting policies, organizational practices and</w:t>
            </w:r>
          </w:p>
          <w:p w14:paraId="290146AA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arguments for standard setters</w:t>
            </w:r>
          </w:p>
          <w:p w14:paraId="3100B8AE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7. Study on the application of accounting policies for intangible assets in the pharmaceutical</w:t>
            </w:r>
          </w:p>
          <w:p w14:paraId="7295AF48" w14:textId="03B9CBA6" w:rsidR="00105B6B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industry</w:t>
            </w:r>
          </w:p>
        </w:tc>
        <w:tc>
          <w:tcPr>
            <w:tcW w:w="1449" w:type="dxa"/>
          </w:tcPr>
          <w:p w14:paraId="737257A9" w14:textId="1B6759AF" w:rsidR="00E0732D" w:rsidRPr="004E5D6C" w:rsidRDefault="00E0732D" w:rsidP="004F0891">
            <w:pPr>
              <w:contextualSpacing/>
              <w:jc w:val="center"/>
              <w:rPr>
                <w:rFonts w:ascii="Constantia" w:hAnsi="Constantia" w:cs="Times New Roman"/>
                <w:b/>
              </w:rPr>
            </w:pPr>
          </w:p>
        </w:tc>
      </w:tr>
      <w:tr w:rsidR="004E5D6C" w:rsidRPr="004E5D6C" w14:paraId="5FE1942D" w14:textId="77777777" w:rsidTr="004F0891">
        <w:trPr>
          <w:trHeight w:val="837"/>
          <w:jc w:val="center"/>
        </w:trPr>
        <w:tc>
          <w:tcPr>
            <w:tcW w:w="582" w:type="dxa"/>
          </w:tcPr>
          <w:p w14:paraId="204C365E" w14:textId="0D5B324C" w:rsidR="00A46B77" w:rsidRPr="004E5D6C" w:rsidRDefault="00361088" w:rsidP="004F0891">
            <w:pPr>
              <w:contextualSpacing/>
              <w:rPr>
                <w:rFonts w:ascii="Constantia" w:hAnsi="Constantia" w:cs="Times New Roman"/>
                <w:b/>
              </w:rPr>
            </w:pPr>
            <w:r>
              <w:rPr>
                <w:rFonts w:ascii="Constantia" w:hAnsi="Constantia" w:cs="Times New Roman"/>
                <w:b/>
              </w:rPr>
              <w:t>2</w:t>
            </w:r>
            <w:r w:rsidR="00A46B77" w:rsidRPr="004E5D6C">
              <w:rPr>
                <w:rFonts w:ascii="Constantia" w:hAnsi="Constantia" w:cs="Times New Roman"/>
                <w:b/>
              </w:rPr>
              <w:t>.</w:t>
            </w:r>
          </w:p>
        </w:tc>
        <w:tc>
          <w:tcPr>
            <w:tcW w:w="1888" w:type="dxa"/>
          </w:tcPr>
          <w:p w14:paraId="579554DB" w14:textId="344C5BEF" w:rsidR="00A46B77" w:rsidRPr="004E5D6C" w:rsidRDefault="00336ED8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336ED8">
              <w:rPr>
                <w:rFonts w:ascii="Constantia" w:hAnsi="Constantia" w:cs="Times New Roman"/>
                <w:b/>
              </w:rPr>
              <w:t>Prof. univ. dr. Dobroțeanu Camelia Iuliana</w:t>
            </w:r>
          </w:p>
        </w:tc>
        <w:tc>
          <w:tcPr>
            <w:tcW w:w="5128" w:type="dxa"/>
          </w:tcPr>
          <w:p w14:paraId="628DCEFF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1. The relationship between the external auditor and the client’s audit committee</w:t>
            </w:r>
          </w:p>
          <w:p w14:paraId="754B050B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2. Risks: key considerations in planning and performing audit engagements</w:t>
            </w:r>
          </w:p>
          <w:p w14:paraId="5A0D733A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3. Materiality – the foundation of the auditor’s professional judgment</w:t>
            </w:r>
          </w:p>
          <w:p w14:paraId="510A5834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4. The audit report: limitations and challenges</w:t>
            </w:r>
          </w:p>
          <w:p w14:paraId="14E69E75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5. The final review stage of an audit engagement: specific procedures</w:t>
            </w:r>
          </w:p>
          <w:p w14:paraId="6E59A0A1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6. A comparative study on the audit committee</w:t>
            </w:r>
          </w:p>
          <w:p w14:paraId="7F742E2E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7. Auditor independence: the essence of professional reputation</w:t>
            </w:r>
          </w:p>
          <w:p w14:paraId="271C97EB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8. Specific considerations regarding the compliance audit of … (structure chosen by the student) at the company …</w:t>
            </w:r>
          </w:p>
          <w:p w14:paraId="0EFCD9EE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9. The auditor’s consideration of fraud risk – a scenario-based discussion</w:t>
            </w:r>
          </w:p>
          <w:p w14:paraId="154144D9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10. Is there a relationship between the audit opinion and the audit fee?</w:t>
            </w:r>
          </w:p>
          <w:p w14:paraId="03FAF3F4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11. Financial and audit reports – twin documents in securing investor confidence</w:t>
            </w:r>
          </w:p>
          <w:p w14:paraId="4D6D972E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12. Functional and operational independence of internal audit</w:t>
            </w:r>
          </w:p>
          <w:p w14:paraId="004D9AC1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13. The legal responsibility of the auditor</w:t>
            </w:r>
          </w:p>
          <w:p w14:paraId="3C3685D3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14. Competition in the national audit market</w:t>
            </w:r>
          </w:p>
          <w:p w14:paraId="6D511A29" w14:textId="12B8D3D6" w:rsidR="00A46B77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15. Differences in perceptions and expectations in auditing</w:t>
            </w:r>
          </w:p>
        </w:tc>
        <w:tc>
          <w:tcPr>
            <w:tcW w:w="1449" w:type="dxa"/>
          </w:tcPr>
          <w:p w14:paraId="5B657FB8" w14:textId="3DD9BBA9" w:rsidR="00A46B77" w:rsidRPr="004E5D6C" w:rsidRDefault="00A46B77" w:rsidP="004F0891">
            <w:pPr>
              <w:contextualSpacing/>
              <w:jc w:val="center"/>
              <w:rPr>
                <w:rFonts w:ascii="Constantia" w:hAnsi="Constantia" w:cs="Times New Roman"/>
              </w:rPr>
            </w:pPr>
          </w:p>
        </w:tc>
      </w:tr>
      <w:tr w:rsidR="004E5D6C" w:rsidRPr="004E5D6C" w14:paraId="077C2C73" w14:textId="77777777" w:rsidTr="004F0891">
        <w:trPr>
          <w:trHeight w:val="411"/>
          <w:jc w:val="center"/>
        </w:trPr>
        <w:tc>
          <w:tcPr>
            <w:tcW w:w="582" w:type="dxa"/>
          </w:tcPr>
          <w:p w14:paraId="6BFE767C" w14:textId="24FB17F3" w:rsidR="00A46B77" w:rsidRPr="004E5D6C" w:rsidRDefault="00361088" w:rsidP="004F0891">
            <w:pPr>
              <w:contextualSpacing/>
              <w:rPr>
                <w:rFonts w:ascii="Constantia" w:hAnsi="Constantia" w:cs="Times New Roman"/>
                <w:b/>
              </w:rPr>
            </w:pPr>
            <w:r>
              <w:rPr>
                <w:rFonts w:ascii="Constantia" w:hAnsi="Constantia" w:cs="Times New Roman"/>
                <w:b/>
              </w:rPr>
              <w:lastRenderedPageBreak/>
              <w:t>3</w:t>
            </w:r>
            <w:r w:rsidR="00A46B77" w:rsidRPr="004E5D6C">
              <w:rPr>
                <w:rFonts w:ascii="Constantia" w:hAnsi="Constantia" w:cs="Times New Roman"/>
                <w:b/>
              </w:rPr>
              <w:t>.</w:t>
            </w:r>
          </w:p>
        </w:tc>
        <w:tc>
          <w:tcPr>
            <w:tcW w:w="1888" w:type="dxa"/>
          </w:tcPr>
          <w:p w14:paraId="54F58E42" w14:textId="0C2F1A64" w:rsidR="00A46B77" w:rsidRPr="004E5D6C" w:rsidRDefault="00336ED8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336ED8">
              <w:rPr>
                <w:rFonts w:ascii="Constantia" w:hAnsi="Constantia" w:cs="Times New Roman"/>
                <w:b/>
              </w:rPr>
              <w:t>Conf. univ. dr. Gușe Raluca</w:t>
            </w:r>
          </w:p>
        </w:tc>
        <w:tc>
          <w:tcPr>
            <w:tcW w:w="5128" w:type="dxa"/>
          </w:tcPr>
          <w:p w14:paraId="6021F786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1. Sustainability reporting in Romania</w:t>
            </w:r>
          </w:p>
          <w:p w14:paraId="1221BCA1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2. Quality of sustainability reporting in Romania</w:t>
            </w:r>
          </w:p>
          <w:p w14:paraId="53447958" w14:textId="334E2403" w:rsidR="00A46B77" w:rsidRPr="004E5D6C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3. Accounting policies regarding the measurement for financial reporting in Romania</w:t>
            </w:r>
          </w:p>
        </w:tc>
        <w:tc>
          <w:tcPr>
            <w:tcW w:w="1449" w:type="dxa"/>
          </w:tcPr>
          <w:p w14:paraId="04F00854" w14:textId="7773F227" w:rsidR="00A46B77" w:rsidRPr="004E5D6C" w:rsidRDefault="00A46B77" w:rsidP="004F0891">
            <w:pPr>
              <w:contextualSpacing/>
              <w:jc w:val="center"/>
              <w:rPr>
                <w:rFonts w:ascii="Constantia" w:hAnsi="Constantia" w:cs="Times New Roman"/>
              </w:rPr>
            </w:pPr>
          </w:p>
        </w:tc>
      </w:tr>
      <w:tr w:rsidR="004E5D6C" w:rsidRPr="004E5D6C" w14:paraId="7E75115F" w14:textId="77777777" w:rsidTr="004F0891">
        <w:trPr>
          <w:trHeight w:val="921"/>
          <w:jc w:val="center"/>
        </w:trPr>
        <w:tc>
          <w:tcPr>
            <w:tcW w:w="582" w:type="dxa"/>
          </w:tcPr>
          <w:p w14:paraId="41C1F884" w14:textId="5CA82528" w:rsidR="00A46B77" w:rsidRPr="004E5D6C" w:rsidRDefault="00361088" w:rsidP="004F0891">
            <w:pPr>
              <w:contextualSpacing/>
              <w:rPr>
                <w:rFonts w:ascii="Constantia" w:hAnsi="Constantia" w:cs="Times New Roman"/>
                <w:b/>
              </w:rPr>
            </w:pPr>
            <w:r>
              <w:rPr>
                <w:rFonts w:ascii="Constantia" w:hAnsi="Constantia" w:cs="Times New Roman"/>
                <w:b/>
              </w:rPr>
              <w:t>4</w:t>
            </w:r>
            <w:r w:rsidR="00A46B77" w:rsidRPr="004E5D6C">
              <w:rPr>
                <w:rFonts w:ascii="Constantia" w:hAnsi="Constantia" w:cs="Times New Roman"/>
                <w:b/>
              </w:rPr>
              <w:t>.</w:t>
            </w:r>
          </w:p>
        </w:tc>
        <w:tc>
          <w:tcPr>
            <w:tcW w:w="1888" w:type="dxa"/>
          </w:tcPr>
          <w:p w14:paraId="2AF3768F" w14:textId="04AA1C28" w:rsidR="00A46B77" w:rsidRPr="004E5D6C" w:rsidRDefault="00336ED8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336ED8">
              <w:rPr>
                <w:rFonts w:ascii="Constantia" w:hAnsi="Constantia" w:cs="Times New Roman"/>
                <w:b/>
              </w:rPr>
              <w:t>Prof. univ. dr. Ionașcu Mihaela</w:t>
            </w:r>
          </w:p>
        </w:tc>
        <w:tc>
          <w:tcPr>
            <w:tcW w:w="5128" w:type="dxa"/>
          </w:tcPr>
          <w:p w14:paraId="5D025466" w14:textId="77777777" w:rsidR="00361088" w:rsidRPr="00361088" w:rsidRDefault="00361088" w:rsidP="0036108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6108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1. Creative Accounting Practices: a Survey-Based Analysis of Perceptions, Drivers, and Ethical</w:t>
            </w:r>
          </w:p>
          <w:p w14:paraId="3D6CB282" w14:textId="77777777" w:rsidR="00361088" w:rsidRPr="00361088" w:rsidRDefault="00361088" w:rsidP="0036108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6108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implications</w:t>
            </w:r>
          </w:p>
          <w:p w14:paraId="0E08FCD2" w14:textId="77777777" w:rsidR="00361088" w:rsidRPr="00361088" w:rsidRDefault="00361088" w:rsidP="0036108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6108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2. Determinants of Earnings Management: An Empirical Analysis of Listed Companies</w:t>
            </w:r>
          </w:p>
          <w:p w14:paraId="09D7C4BB" w14:textId="77777777" w:rsidR="00361088" w:rsidRPr="00361088" w:rsidRDefault="00361088" w:rsidP="0036108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6108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3. Identifying Creative Accounting Red Flags: An Empirical Analysis of Listed Companies</w:t>
            </w:r>
          </w:p>
          <w:p w14:paraId="35A2F581" w14:textId="77777777" w:rsidR="00361088" w:rsidRPr="00361088" w:rsidRDefault="00361088" w:rsidP="0036108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6108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4. Recognition and Measurement of Revenue from Contracts with Customers under IFRS 15:</w:t>
            </w:r>
          </w:p>
          <w:p w14:paraId="47B118D9" w14:textId="77777777" w:rsidR="00361088" w:rsidRPr="00361088" w:rsidRDefault="00361088" w:rsidP="0036108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6108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Decision Usefulness</w:t>
            </w:r>
          </w:p>
          <w:p w14:paraId="70132581" w14:textId="77777777" w:rsidR="00361088" w:rsidRPr="00361088" w:rsidRDefault="00361088" w:rsidP="0036108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6108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5. Accounting Treatment of Lease Contracts under IFRS 16: Decision Usefulness</w:t>
            </w:r>
          </w:p>
          <w:p w14:paraId="2992BC8D" w14:textId="77777777" w:rsidR="00361088" w:rsidRPr="00361088" w:rsidRDefault="00361088" w:rsidP="0036108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6108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6. Recognition and Measurement of Financial Instruments under IFRS 9: Decision Usefulness</w:t>
            </w:r>
          </w:p>
          <w:p w14:paraId="7D583C45" w14:textId="77777777" w:rsidR="00361088" w:rsidRPr="00361088" w:rsidRDefault="00361088" w:rsidP="0036108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6108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7. Share-Based Payments under IFRS 2 as Instruments for Management Incentives</w:t>
            </w:r>
          </w:p>
          <w:p w14:paraId="3D0D151C" w14:textId="77777777" w:rsidR="00361088" w:rsidRPr="00361088" w:rsidRDefault="00361088" w:rsidP="0036108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6108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8. Drivers of financial reporting quality: Survey-Based Analysis or Empirical Research</w:t>
            </w:r>
          </w:p>
          <w:p w14:paraId="39EF9855" w14:textId="77777777" w:rsidR="00361088" w:rsidRPr="00361088" w:rsidRDefault="00361088" w:rsidP="0036108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6108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9. Empirical Analysis of the Impact of Financial Performance Information on Stock Prices of</w:t>
            </w:r>
          </w:p>
          <w:p w14:paraId="37B3C175" w14:textId="77777777" w:rsidR="00361088" w:rsidRPr="00361088" w:rsidRDefault="00361088" w:rsidP="0036108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6108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Listed Companies</w:t>
            </w:r>
          </w:p>
          <w:p w14:paraId="06117169" w14:textId="77777777" w:rsidR="00361088" w:rsidRPr="00361088" w:rsidRDefault="00361088" w:rsidP="0036108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6108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10. Corporate Governance (Board Size, Diversity, etc.) and Its Influence on Financial</w:t>
            </w:r>
          </w:p>
          <w:p w14:paraId="66387CB1" w14:textId="77777777" w:rsidR="00361088" w:rsidRPr="00361088" w:rsidRDefault="00361088" w:rsidP="0036108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6108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Performance: Survey-Based Analysis or Empirical Research</w:t>
            </w:r>
          </w:p>
          <w:p w14:paraId="2014914E" w14:textId="77777777" w:rsidR="00361088" w:rsidRPr="00361088" w:rsidRDefault="00361088" w:rsidP="0036108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6108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11. Environmental Performance (Resource Use, Emissions, Innovation) and Its Effects on</w:t>
            </w:r>
          </w:p>
          <w:p w14:paraId="5017329B" w14:textId="77777777" w:rsidR="00361088" w:rsidRPr="00361088" w:rsidRDefault="00361088" w:rsidP="0036108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6108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Company Performance: Survey-Based Analysis or Empirical Research</w:t>
            </w:r>
          </w:p>
          <w:p w14:paraId="24FD32E9" w14:textId="77777777" w:rsidR="00361088" w:rsidRPr="00361088" w:rsidRDefault="00361088" w:rsidP="0036108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6108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12. The Relationship between ESG Performance (Environmental, Social, Governance) and</w:t>
            </w:r>
          </w:p>
          <w:p w14:paraId="2096DCE1" w14:textId="77777777" w:rsidR="00361088" w:rsidRPr="00361088" w:rsidRDefault="00361088" w:rsidP="0036108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6108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Company Performance: Survey-Based Analysis or Empirical Research</w:t>
            </w:r>
          </w:p>
          <w:p w14:paraId="56A45B1C" w14:textId="77777777" w:rsidR="00361088" w:rsidRPr="00361088" w:rsidRDefault="00361088" w:rsidP="0036108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6108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Note: Topics proposed by students may also be accepted, subject to the approval of the</w:t>
            </w:r>
          </w:p>
          <w:p w14:paraId="023E6090" w14:textId="7A4823ED" w:rsidR="00A46B77" w:rsidRPr="00336ED8" w:rsidRDefault="00361088" w:rsidP="0036108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6108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academic supervisor.</w:t>
            </w:r>
          </w:p>
        </w:tc>
        <w:tc>
          <w:tcPr>
            <w:tcW w:w="1449" w:type="dxa"/>
          </w:tcPr>
          <w:p w14:paraId="2E0B3175" w14:textId="302C3773" w:rsidR="00A46B77" w:rsidRPr="004E5D6C" w:rsidRDefault="00A46B77" w:rsidP="004F0891">
            <w:pPr>
              <w:contextualSpacing/>
              <w:jc w:val="center"/>
              <w:rPr>
                <w:rFonts w:ascii="Constantia" w:hAnsi="Constantia" w:cs="Times New Roman"/>
              </w:rPr>
            </w:pPr>
          </w:p>
        </w:tc>
      </w:tr>
      <w:tr w:rsidR="004E5D6C" w:rsidRPr="004E5D6C" w14:paraId="1A5740F5" w14:textId="77777777" w:rsidTr="004F0891">
        <w:trPr>
          <w:trHeight w:val="851"/>
          <w:jc w:val="center"/>
        </w:trPr>
        <w:tc>
          <w:tcPr>
            <w:tcW w:w="582" w:type="dxa"/>
          </w:tcPr>
          <w:p w14:paraId="6C285F5F" w14:textId="75B69B1F" w:rsidR="00A46B77" w:rsidRPr="004E5D6C" w:rsidRDefault="00361088" w:rsidP="004F0891">
            <w:pPr>
              <w:contextualSpacing/>
              <w:rPr>
                <w:rFonts w:ascii="Constantia" w:hAnsi="Constantia" w:cs="Times New Roman"/>
                <w:b/>
              </w:rPr>
            </w:pPr>
            <w:r>
              <w:rPr>
                <w:rFonts w:ascii="Constantia" w:hAnsi="Constantia" w:cs="Times New Roman"/>
                <w:b/>
              </w:rPr>
              <w:t>5</w:t>
            </w:r>
            <w:r w:rsidR="00A46B77" w:rsidRPr="004E5D6C">
              <w:rPr>
                <w:rFonts w:ascii="Constantia" w:hAnsi="Constantia" w:cs="Times New Roman"/>
                <w:b/>
              </w:rPr>
              <w:t>.</w:t>
            </w:r>
          </w:p>
        </w:tc>
        <w:tc>
          <w:tcPr>
            <w:tcW w:w="1888" w:type="dxa"/>
          </w:tcPr>
          <w:p w14:paraId="18327398" w14:textId="68F219ED" w:rsidR="00A46B77" w:rsidRPr="004E5D6C" w:rsidRDefault="00336ED8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336ED8">
              <w:rPr>
                <w:rFonts w:ascii="Constantia" w:hAnsi="Constantia" w:cs="Times New Roman"/>
                <w:b/>
              </w:rPr>
              <w:t>Prof. univ. dr. Lungu Camelia Iuliana</w:t>
            </w:r>
          </w:p>
        </w:tc>
        <w:tc>
          <w:tcPr>
            <w:tcW w:w="5128" w:type="dxa"/>
          </w:tcPr>
          <w:p w14:paraId="4BF2B83E" w14:textId="77777777" w:rsidR="00F55774" w:rsidRPr="00F55774" w:rsidRDefault="00F55774" w:rsidP="00F5577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F55774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1. The budgeting process in the context of an integrated business plan approach</w:t>
            </w:r>
          </w:p>
          <w:p w14:paraId="3992F804" w14:textId="77777777" w:rsidR="00F55774" w:rsidRPr="00F55774" w:rsidRDefault="00F55774" w:rsidP="00F5577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F55774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2. Static budgeting versus flexible budgeting for business strategies</w:t>
            </w:r>
          </w:p>
          <w:p w14:paraId="564194F5" w14:textId="77777777" w:rsidR="00F55774" w:rsidRPr="00F55774" w:rsidRDefault="00F55774" w:rsidP="00F5577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F55774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3. What If Analysis model for short term decisions</w:t>
            </w:r>
          </w:p>
          <w:p w14:paraId="2CFC5D3D" w14:textId="77777777" w:rsidR="00F55774" w:rsidRPr="00F55774" w:rsidRDefault="00F55774" w:rsidP="00F5577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F55774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4. Discussion on the opportunity of replacing the traditional costing system with the activity-based</w:t>
            </w:r>
          </w:p>
          <w:p w14:paraId="6891A5A7" w14:textId="77777777" w:rsidR="00F55774" w:rsidRPr="00F55774" w:rsidRDefault="00F55774" w:rsidP="00F5577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F55774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costing system</w:t>
            </w:r>
          </w:p>
          <w:p w14:paraId="368CF639" w14:textId="77777777" w:rsidR="00F55774" w:rsidRPr="00F55774" w:rsidRDefault="00F55774" w:rsidP="00F5577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F55774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5. Students’ academic integrity and business ethics implications in the accounting profession</w:t>
            </w:r>
          </w:p>
          <w:p w14:paraId="58CEBA87" w14:textId="77777777" w:rsidR="00F55774" w:rsidRPr="00F55774" w:rsidRDefault="00F55774" w:rsidP="00F5577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F55774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lastRenderedPageBreak/>
              <w:t>6. The use of the Balanced Scorecard in business strategies</w:t>
            </w:r>
          </w:p>
          <w:p w14:paraId="0DD6B45F" w14:textId="77777777" w:rsidR="00F55774" w:rsidRPr="00F55774" w:rsidRDefault="00F55774" w:rsidP="00F5577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F55774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7. Reshaping corporate reporting in the context of sustainable development</w:t>
            </w:r>
          </w:p>
          <w:p w14:paraId="00D26680" w14:textId="77777777" w:rsidR="00F55774" w:rsidRPr="00F55774" w:rsidRDefault="00F55774" w:rsidP="00F5577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F55774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8. Target costing for performance-related corporate decisions</w:t>
            </w:r>
          </w:p>
          <w:p w14:paraId="22B2E2A4" w14:textId="77777777" w:rsidR="00F55774" w:rsidRPr="00F55774" w:rsidRDefault="00F55774" w:rsidP="00F5577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F55774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9. The use environmental accounting information for business decisions</w:t>
            </w:r>
          </w:p>
          <w:p w14:paraId="43AD7283" w14:textId="77777777" w:rsidR="00F55774" w:rsidRPr="00F55774" w:rsidRDefault="00F55774" w:rsidP="00F5577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F55774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10. The impact of mandatory adoption of IFRSs on companies&amp;#39; financial position</w:t>
            </w:r>
          </w:p>
          <w:p w14:paraId="700EF520" w14:textId="77777777" w:rsidR="00F55774" w:rsidRPr="00F55774" w:rsidRDefault="00F55774" w:rsidP="00F5577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F55774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11. The impact of mandatory adoption of IFRSs on companies&amp;#39; financial performance</w:t>
            </w:r>
          </w:p>
          <w:p w14:paraId="08DEB395" w14:textId="77777777" w:rsidR="00F55774" w:rsidRPr="00F55774" w:rsidRDefault="00F55774" w:rsidP="00F5577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F55774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12. Reporting the financial and non-financial performance of the entities</w:t>
            </w:r>
          </w:p>
          <w:p w14:paraId="47949014" w14:textId="629BFE6B" w:rsidR="00A46B77" w:rsidRPr="00336ED8" w:rsidRDefault="00F55774" w:rsidP="00F5577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F55774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13. The influence of social and environmental information on performance reporting</w:t>
            </w:r>
          </w:p>
        </w:tc>
        <w:tc>
          <w:tcPr>
            <w:tcW w:w="1449" w:type="dxa"/>
          </w:tcPr>
          <w:p w14:paraId="29681E18" w14:textId="67F063B4" w:rsidR="00A46B77" w:rsidRPr="004E5D6C" w:rsidRDefault="00A46B77" w:rsidP="004F0891">
            <w:pPr>
              <w:contextualSpacing/>
              <w:jc w:val="center"/>
              <w:rPr>
                <w:rFonts w:ascii="Constantia" w:hAnsi="Constantia" w:cs="Times New Roman"/>
              </w:rPr>
            </w:pPr>
          </w:p>
        </w:tc>
      </w:tr>
      <w:tr w:rsidR="00336ED8" w:rsidRPr="004E5D6C" w14:paraId="521A5C0B" w14:textId="77777777" w:rsidTr="004F0891">
        <w:trPr>
          <w:trHeight w:val="818"/>
          <w:jc w:val="center"/>
        </w:trPr>
        <w:tc>
          <w:tcPr>
            <w:tcW w:w="582" w:type="dxa"/>
          </w:tcPr>
          <w:p w14:paraId="2063C05C" w14:textId="71920270" w:rsidR="00336ED8" w:rsidRPr="004E5D6C" w:rsidRDefault="00361088" w:rsidP="00336ED8">
            <w:pPr>
              <w:contextualSpacing/>
              <w:rPr>
                <w:rFonts w:ascii="Constantia" w:hAnsi="Constantia" w:cs="Times New Roman"/>
                <w:b/>
              </w:rPr>
            </w:pPr>
            <w:r>
              <w:rPr>
                <w:rFonts w:ascii="Constantia" w:hAnsi="Constantia" w:cs="Times New Roman"/>
                <w:b/>
              </w:rPr>
              <w:t>6</w:t>
            </w:r>
            <w:r w:rsidR="00336ED8" w:rsidRPr="004E5D6C">
              <w:rPr>
                <w:rFonts w:ascii="Constantia" w:hAnsi="Constantia" w:cs="Times New Roman"/>
                <w:b/>
              </w:rPr>
              <w:t>.</w:t>
            </w:r>
          </w:p>
        </w:tc>
        <w:tc>
          <w:tcPr>
            <w:tcW w:w="1888" w:type="dxa"/>
          </w:tcPr>
          <w:p w14:paraId="2DD75C98" w14:textId="32362B7D" w:rsidR="00336ED8" w:rsidRPr="004E5D6C" w:rsidRDefault="00336ED8" w:rsidP="00336ED8">
            <w:pPr>
              <w:contextualSpacing/>
              <w:rPr>
                <w:rFonts w:ascii="Constantia" w:hAnsi="Constantia" w:cs="Times New Roman"/>
                <w:b/>
              </w:rPr>
            </w:pPr>
            <w:r w:rsidRPr="00336ED8">
              <w:rPr>
                <w:rFonts w:ascii="Constantia" w:hAnsi="Constantia" w:cs="Times New Roman"/>
                <w:b/>
              </w:rPr>
              <w:t>Conf. univ. dr. Mocanu Mihaela</w:t>
            </w:r>
          </w:p>
        </w:tc>
        <w:tc>
          <w:tcPr>
            <w:tcW w:w="5128" w:type="dxa"/>
          </w:tcPr>
          <w:p w14:paraId="632F3825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1. Fees in financial auditing – a systematic review of the literature</w:t>
            </w:r>
          </w:p>
          <w:p w14:paraId="2589C633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2. Quality in financial auditing in the context of current regulations in Romania / in country X</w:t>
            </w:r>
          </w:p>
          <w:p w14:paraId="31855571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3. The audit report and the expectations of the general public regarding financial auditing</w:t>
            </w:r>
          </w:p>
          <w:p w14:paraId="632B8B64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4. Management accounting in the national and international healthcare system</w:t>
            </w:r>
          </w:p>
          <w:p w14:paraId="188F7623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5. Financial auditing in SMEs in a risk-oriented approach</w:t>
            </w:r>
          </w:p>
          <w:p w14:paraId="3A116D8F" w14:textId="52B3EB64" w:rsidR="00336ED8" w:rsidRPr="004E5D6C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ind w:left="720"/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bCs/>
                <w:color w:val="auto"/>
                <w:sz w:val="22"/>
                <w:szCs w:val="22"/>
                <w:lang w:val="ro-RO"/>
              </w:rPr>
              <w:t>6. The corporate governance system and its impact on financial performance</w:t>
            </w:r>
          </w:p>
        </w:tc>
        <w:tc>
          <w:tcPr>
            <w:tcW w:w="1449" w:type="dxa"/>
          </w:tcPr>
          <w:p w14:paraId="49A4CB5C" w14:textId="57C77C29" w:rsidR="00336ED8" w:rsidRPr="004E5D6C" w:rsidRDefault="00336ED8" w:rsidP="00336ED8">
            <w:pPr>
              <w:contextualSpacing/>
              <w:jc w:val="center"/>
              <w:rPr>
                <w:rFonts w:ascii="Constantia" w:hAnsi="Constantia" w:cs="Times New Roman"/>
              </w:rPr>
            </w:pPr>
          </w:p>
        </w:tc>
      </w:tr>
      <w:tr w:rsidR="00336ED8" w:rsidRPr="004E5D6C" w14:paraId="543489D7" w14:textId="77777777" w:rsidTr="004F0891">
        <w:trPr>
          <w:trHeight w:val="70"/>
          <w:jc w:val="center"/>
        </w:trPr>
        <w:tc>
          <w:tcPr>
            <w:tcW w:w="582" w:type="dxa"/>
          </w:tcPr>
          <w:p w14:paraId="5849E0BF" w14:textId="5646F124" w:rsidR="00336ED8" w:rsidRPr="004E5D6C" w:rsidRDefault="00361088" w:rsidP="00336ED8">
            <w:pPr>
              <w:contextualSpacing/>
              <w:rPr>
                <w:rFonts w:ascii="Constantia" w:hAnsi="Constantia" w:cs="Times New Roman"/>
                <w:b/>
              </w:rPr>
            </w:pPr>
            <w:r>
              <w:rPr>
                <w:rFonts w:ascii="Constantia" w:hAnsi="Constantia" w:cs="Times New Roman"/>
                <w:b/>
              </w:rPr>
              <w:t>7</w:t>
            </w:r>
            <w:r w:rsidR="00336ED8" w:rsidRPr="004E5D6C">
              <w:rPr>
                <w:rFonts w:ascii="Constantia" w:hAnsi="Constantia" w:cs="Times New Roman"/>
                <w:b/>
              </w:rPr>
              <w:t>.</w:t>
            </w:r>
          </w:p>
        </w:tc>
        <w:tc>
          <w:tcPr>
            <w:tcW w:w="1888" w:type="dxa"/>
          </w:tcPr>
          <w:p w14:paraId="253FD58E" w14:textId="64B1323F" w:rsidR="00336ED8" w:rsidRPr="004E5D6C" w:rsidRDefault="00336ED8" w:rsidP="00336ED8">
            <w:pPr>
              <w:contextualSpacing/>
              <w:rPr>
                <w:rFonts w:ascii="Constantia" w:hAnsi="Constantia" w:cs="Times New Roman"/>
                <w:b/>
              </w:rPr>
            </w:pPr>
            <w:r w:rsidRPr="00336ED8">
              <w:rPr>
                <w:rFonts w:ascii="Constantia" w:hAnsi="Constantia" w:cs="Times New Roman"/>
                <w:b/>
              </w:rPr>
              <w:t>Lect. univ. dr. Ponorîca Andreea Gabriela</w:t>
            </w:r>
          </w:p>
        </w:tc>
        <w:tc>
          <w:tcPr>
            <w:tcW w:w="5128" w:type="dxa"/>
          </w:tcPr>
          <w:p w14:paraId="57ECBD60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1. Financial Audit of Final Accounts </w:t>
            </w:r>
          </w:p>
          <w:p w14:paraId="3029DE86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2. Materiality and Risk in the Audit Process </w:t>
            </w:r>
          </w:p>
          <w:p w14:paraId="514A7B91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3. Error and Fraud – Important Issues in Audit </w:t>
            </w:r>
          </w:p>
          <w:p w14:paraId="31734F0E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4. Audit Sampling – Relevance as a Testing Method </w:t>
            </w:r>
          </w:p>
          <w:p w14:paraId="2FAC9CB6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5. Ethics as Audit Principle. Consequences of Violating Ethics </w:t>
            </w:r>
          </w:p>
          <w:p w14:paraId="0C04B6AE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6. Auditing a Business in the Context of Financial Crisis </w:t>
            </w:r>
          </w:p>
          <w:p w14:paraId="2BE0EC68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7. Threat to Independence in Audit Process </w:t>
            </w:r>
          </w:p>
          <w:p w14:paraId="6EDA1849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8. Target Costing – Proactive Method of Cost Computation </w:t>
            </w:r>
          </w:p>
          <w:p w14:paraId="3FE2A5CD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9. Dash Board – Pilot Instrument for Short Term Decision Making </w:t>
            </w:r>
          </w:p>
          <w:p w14:paraId="74FF77EB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10. Compared Analysis of Projects’ Financial Return</w:t>
            </w:r>
          </w:p>
          <w:p w14:paraId="07A87965" w14:textId="77777777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Note: Topics proposed by students may also be accepted, subject to the approval of the</w:t>
            </w:r>
          </w:p>
          <w:p w14:paraId="4CA05D2E" w14:textId="6545D774" w:rsidR="00336ED8" w:rsidRPr="004E5D6C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academic supervisor.</w:t>
            </w:r>
          </w:p>
        </w:tc>
        <w:tc>
          <w:tcPr>
            <w:tcW w:w="1449" w:type="dxa"/>
          </w:tcPr>
          <w:p w14:paraId="3F239C6B" w14:textId="78E7005B" w:rsidR="00336ED8" w:rsidRPr="004E5D6C" w:rsidRDefault="00336ED8" w:rsidP="00336ED8">
            <w:pPr>
              <w:contextualSpacing/>
              <w:jc w:val="center"/>
              <w:rPr>
                <w:rFonts w:ascii="Constantia" w:hAnsi="Constantia" w:cs="Times New Roman"/>
              </w:rPr>
            </w:pPr>
          </w:p>
        </w:tc>
      </w:tr>
      <w:tr w:rsidR="00336ED8" w:rsidRPr="004E5D6C" w14:paraId="7BA24B90" w14:textId="77777777" w:rsidTr="004F0891">
        <w:trPr>
          <w:trHeight w:val="836"/>
          <w:jc w:val="center"/>
        </w:trPr>
        <w:tc>
          <w:tcPr>
            <w:tcW w:w="582" w:type="dxa"/>
          </w:tcPr>
          <w:p w14:paraId="7E98D631" w14:textId="166D7C77" w:rsidR="00336ED8" w:rsidRPr="004E5D6C" w:rsidRDefault="00361088" w:rsidP="00336ED8">
            <w:pPr>
              <w:contextualSpacing/>
              <w:rPr>
                <w:rFonts w:ascii="Constantia" w:hAnsi="Constantia" w:cs="Times New Roman"/>
                <w:b/>
              </w:rPr>
            </w:pPr>
            <w:r>
              <w:rPr>
                <w:rFonts w:ascii="Constantia" w:hAnsi="Constantia" w:cs="Times New Roman"/>
                <w:b/>
              </w:rPr>
              <w:t>8</w:t>
            </w:r>
            <w:r w:rsidR="00336ED8" w:rsidRPr="004E5D6C">
              <w:rPr>
                <w:rFonts w:ascii="Constantia" w:hAnsi="Constantia" w:cs="Times New Roman"/>
                <w:b/>
              </w:rPr>
              <w:t>.</w:t>
            </w:r>
          </w:p>
        </w:tc>
        <w:tc>
          <w:tcPr>
            <w:tcW w:w="1888" w:type="dxa"/>
          </w:tcPr>
          <w:p w14:paraId="485E14E1" w14:textId="1BFD00D7" w:rsidR="00336ED8" w:rsidRPr="004E5D6C" w:rsidRDefault="00336ED8" w:rsidP="00336ED8">
            <w:pPr>
              <w:contextualSpacing/>
              <w:rPr>
                <w:rFonts w:ascii="Constantia" w:hAnsi="Constantia" w:cs="Times New Roman"/>
                <w:b/>
              </w:rPr>
            </w:pPr>
            <w:r w:rsidRPr="00336ED8">
              <w:rPr>
                <w:rFonts w:ascii="Constantia" w:hAnsi="Constantia" w:cs="Times New Roman"/>
                <w:b/>
              </w:rPr>
              <w:t>Prof. univ. dr. Voicu Dan Dragomir</w:t>
            </w:r>
          </w:p>
        </w:tc>
        <w:tc>
          <w:tcPr>
            <w:tcW w:w="5128" w:type="dxa"/>
          </w:tcPr>
          <w:p w14:paraId="28236A57" w14:textId="30A5EA0A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1. Business codes of ethics. Comparative perspectives</w:t>
            </w:r>
          </w:p>
          <w:p w14:paraId="71B35076" w14:textId="68104225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2. Corporate governance reports from a comparative perspective in the European Union</w:t>
            </w:r>
          </w:p>
          <w:p w14:paraId="0722BC4D" w14:textId="52C66E57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3. Corporate governance structures and their </w:t>
            </w: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lastRenderedPageBreak/>
              <w:t>impact on financial performance</w:t>
            </w:r>
          </w:p>
          <w:p w14:paraId="5A9E8C25" w14:textId="2183E4D6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4. The evolution of sustainability reporting in the European Union and empirical evidence</w:t>
            </w:r>
          </w:p>
          <w:p w14:paraId="0F734DCC" w14:textId="5BEEA86D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5. ESG (environmental, social, governance) performance in the European context</w:t>
            </w:r>
          </w:p>
          <w:p w14:paraId="557C433B" w14:textId="6DC050C3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6. Corporate performance and the UN Sustainable Development Goals in the European context</w:t>
            </w:r>
          </w:p>
          <w:p w14:paraId="1B2C0A26" w14:textId="05E729A7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7. Sustainable business models and measuring environmental and social performance</w:t>
            </w:r>
          </w:p>
          <w:p w14:paraId="038E13DF" w14:textId="103592DC" w:rsidR="00336ED8" w:rsidRPr="00336ED8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8. EU Taxonomy of sustainable activities and financial performance in the European Union</w:t>
            </w:r>
          </w:p>
          <w:p w14:paraId="3C3D175D" w14:textId="724FB552" w:rsidR="00336ED8" w:rsidRPr="004E5D6C" w:rsidRDefault="00336ED8" w:rsidP="00336ED8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336ED8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9. Circular economy models and financial performance in the European Union</w:t>
            </w:r>
          </w:p>
        </w:tc>
        <w:tc>
          <w:tcPr>
            <w:tcW w:w="1449" w:type="dxa"/>
          </w:tcPr>
          <w:p w14:paraId="0EB61DCF" w14:textId="5C5E60D0" w:rsidR="00336ED8" w:rsidRPr="004E5D6C" w:rsidRDefault="00336ED8" w:rsidP="00336ED8">
            <w:pPr>
              <w:contextualSpacing/>
              <w:jc w:val="center"/>
              <w:rPr>
                <w:rFonts w:ascii="Constantia" w:hAnsi="Constantia" w:cs="Times New Roman"/>
              </w:rPr>
            </w:pPr>
          </w:p>
        </w:tc>
      </w:tr>
    </w:tbl>
    <w:p w14:paraId="45BCEF1F" w14:textId="661C5C96" w:rsidR="00E956BC" w:rsidRPr="004E5D6C" w:rsidRDefault="00E7472E" w:rsidP="00E956BC">
      <w:pPr>
        <w:spacing w:after="0" w:line="240" w:lineRule="auto"/>
        <w:rPr>
          <w:rFonts w:ascii="Times New Roman" w:hAnsi="Times New Roman" w:cs="Times New Roman"/>
        </w:rPr>
      </w:pPr>
      <w:r w:rsidRPr="004E5D6C">
        <w:rPr>
          <w:rFonts w:ascii="Times New Roman" w:hAnsi="Times New Roman" w:cs="Times New Roman"/>
        </w:rPr>
        <w:t xml:space="preserve">                 </w:t>
      </w:r>
    </w:p>
    <w:sectPr w:rsidR="00E956BC" w:rsidRPr="004E5D6C" w:rsidSect="00361088">
      <w:pgSz w:w="11906" w:h="16838"/>
      <w:pgMar w:top="1417" w:right="142" w:bottom="993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B5BF7"/>
    <w:multiLevelType w:val="hybridMultilevel"/>
    <w:tmpl w:val="BD641F96"/>
    <w:lvl w:ilvl="0" w:tplc="0809000F">
      <w:start w:val="1"/>
      <w:numFmt w:val="decimal"/>
      <w:lvlText w:val="%1."/>
      <w:lvlJc w:val="left"/>
      <w:pPr>
        <w:ind w:left="3054" w:hanging="360"/>
      </w:pPr>
    </w:lvl>
    <w:lvl w:ilvl="1" w:tplc="08090019" w:tentative="1">
      <w:start w:val="1"/>
      <w:numFmt w:val="lowerLetter"/>
      <w:lvlText w:val="%2."/>
      <w:lvlJc w:val="left"/>
      <w:pPr>
        <w:ind w:left="3774" w:hanging="360"/>
      </w:pPr>
    </w:lvl>
    <w:lvl w:ilvl="2" w:tplc="0809001B" w:tentative="1">
      <w:start w:val="1"/>
      <w:numFmt w:val="lowerRoman"/>
      <w:lvlText w:val="%3."/>
      <w:lvlJc w:val="right"/>
      <w:pPr>
        <w:ind w:left="4494" w:hanging="180"/>
      </w:pPr>
    </w:lvl>
    <w:lvl w:ilvl="3" w:tplc="0809000F" w:tentative="1">
      <w:start w:val="1"/>
      <w:numFmt w:val="decimal"/>
      <w:lvlText w:val="%4."/>
      <w:lvlJc w:val="left"/>
      <w:pPr>
        <w:ind w:left="5214" w:hanging="360"/>
      </w:pPr>
    </w:lvl>
    <w:lvl w:ilvl="4" w:tplc="08090019" w:tentative="1">
      <w:start w:val="1"/>
      <w:numFmt w:val="lowerLetter"/>
      <w:lvlText w:val="%5."/>
      <w:lvlJc w:val="left"/>
      <w:pPr>
        <w:ind w:left="5934" w:hanging="360"/>
      </w:pPr>
    </w:lvl>
    <w:lvl w:ilvl="5" w:tplc="0809001B" w:tentative="1">
      <w:start w:val="1"/>
      <w:numFmt w:val="lowerRoman"/>
      <w:lvlText w:val="%6."/>
      <w:lvlJc w:val="right"/>
      <w:pPr>
        <w:ind w:left="6654" w:hanging="180"/>
      </w:pPr>
    </w:lvl>
    <w:lvl w:ilvl="6" w:tplc="0809000F" w:tentative="1">
      <w:start w:val="1"/>
      <w:numFmt w:val="decimal"/>
      <w:lvlText w:val="%7."/>
      <w:lvlJc w:val="left"/>
      <w:pPr>
        <w:ind w:left="7374" w:hanging="360"/>
      </w:pPr>
    </w:lvl>
    <w:lvl w:ilvl="7" w:tplc="08090019" w:tentative="1">
      <w:start w:val="1"/>
      <w:numFmt w:val="lowerLetter"/>
      <w:lvlText w:val="%8."/>
      <w:lvlJc w:val="left"/>
      <w:pPr>
        <w:ind w:left="8094" w:hanging="360"/>
      </w:pPr>
    </w:lvl>
    <w:lvl w:ilvl="8" w:tplc="080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" w15:restartNumberingAfterBreak="0">
    <w:nsid w:val="0A4C36B1"/>
    <w:multiLevelType w:val="multilevel"/>
    <w:tmpl w:val="E6DE4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E377AA"/>
    <w:multiLevelType w:val="hybridMultilevel"/>
    <w:tmpl w:val="ED5EB952"/>
    <w:lvl w:ilvl="0" w:tplc="F9F23BA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0A822A9"/>
    <w:multiLevelType w:val="hybridMultilevel"/>
    <w:tmpl w:val="BD641F9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62667502">
    <w:abstractNumId w:val="3"/>
  </w:num>
  <w:num w:numId="2" w16cid:durableId="304480864">
    <w:abstractNumId w:val="0"/>
  </w:num>
  <w:num w:numId="3" w16cid:durableId="1954903323">
    <w:abstractNumId w:val="2"/>
  </w:num>
  <w:num w:numId="4" w16cid:durableId="20194561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56BC"/>
    <w:rsid w:val="00070833"/>
    <w:rsid w:val="0007422E"/>
    <w:rsid w:val="000B269E"/>
    <w:rsid w:val="000F1277"/>
    <w:rsid w:val="00105B6B"/>
    <w:rsid w:val="00107014"/>
    <w:rsid w:val="00110F4D"/>
    <w:rsid w:val="0012612E"/>
    <w:rsid w:val="001261E7"/>
    <w:rsid w:val="00126DFE"/>
    <w:rsid w:val="0014110F"/>
    <w:rsid w:val="001520E5"/>
    <w:rsid w:val="0017381E"/>
    <w:rsid w:val="001940D9"/>
    <w:rsid w:val="001A3FDE"/>
    <w:rsid w:val="001B326F"/>
    <w:rsid w:val="001D1087"/>
    <w:rsid w:val="001E75BD"/>
    <w:rsid w:val="001F2626"/>
    <w:rsid w:val="00221119"/>
    <w:rsid w:val="00227771"/>
    <w:rsid w:val="00237BAE"/>
    <w:rsid w:val="0024061F"/>
    <w:rsid w:val="002439B2"/>
    <w:rsid w:val="002527ED"/>
    <w:rsid w:val="002F4343"/>
    <w:rsid w:val="00313691"/>
    <w:rsid w:val="00317AFA"/>
    <w:rsid w:val="00320F90"/>
    <w:rsid w:val="003308E0"/>
    <w:rsid w:val="00336ED8"/>
    <w:rsid w:val="00361088"/>
    <w:rsid w:val="003622BF"/>
    <w:rsid w:val="00364BE6"/>
    <w:rsid w:val="00365FF0"/>
    <w:rsid w:val="00392B77"/>
    <w:rsid w:val="003D4BDF"/>
    <w:rsid w:val="003D68B0"/>
    <w:rsid w:val="00407855"/>
    <w:rsid w:val="00427983"/>
    <w:rsid w:val="0043359F"/>
    <w:rsid w:val="004405A5"/>
    <w:rsid w:val="0044601E"/>
    <w:rsid w:val="004820A5"/>
    <w:rsid w:val="004B4C14"/>
    <w:rsid w:val="004C19A1"/>
    <w:rsid w:val="004D2394"/>
    <w:rsid w:val="004E5D6C"/>
    <w:rsid w:val="004F0891"/>
    <w:rsid w:val="00522018"/>
    <w:rsid w:val="005245E6"/>
    <w:rsid w:val="00531BB1"/>
    <w:rsid w:val="005473A8"/>
    <w:rsid w:val="00571853"/>
    <w:rsid w:val="00585E2B"/>
    <w:rsid w:val="005A2FC7"/>
    <w:rsid w:val="005B383D"/>
    <w:rsid w:val="005F59B7"/>
    <w:rsid w:val="0061168E"/>
    <w:rsid w:val="006424EB"/>
    <w:rsid w:val="00662C33"/>
    <w:rsid w:val="006909B1"/>
    <w:rsid w:val="00690F21"/>
    <w:rsid w:val="006C62F5"/>
    <w:rsid w:val="006D6147"/>
    <w:rsid w:val="006F2C6C"/>
    <w:rsid w:val="00710346"/>
    <w:rsid w:val="00717A60"/>
    <w:rsid w:val="00734966"/>
    <w:rsid w:val="00745A6E"/>
    <w:rsid w:val="0074701C"/>
    <w:rsid w:val="00763BBE"/>
    <w:rsid w:val="00780F25"/>
    <w:rsid w:val="007947F5"/>
    <w:rsid w:val="00794F12"/>
    <w:rsid w:val="007B21CF"/>
    <w:rsid w:val="007D12C5"/>
    <w:rsid w:val="007D2F6A"/>
    <w:rsid w:val="007F7136"/>
    <w:rsid w:val="00800020"/>
    <w:rsid w:val="0081346F"/>
    <w:rsid w:val="00837E8C"/>
    <w:rsid w:val="00860395"/>
    <w:rsid w:val="008679AE"/>
    <w:rsid w:val="00880400"/>
    <w:rsid w:val="00896D68"/>
    <w:rsid w:val="008E2D58"/>
    <w:rsid w:val="008E65CE"/>
    <w:rsid w:val="008E6B19"/>
    <w:rsid w:val="008F3B23"/>
    <w:rsid w:val="008F68E5"/>
    <w:rsid w:val="0098134D"/>
    <w:rsid w:val="009A5929"/>
    <w:rsid w:val="009C2E52"/>
    <w:rsid w:val="009D6E80"/>
    <w:rsid w:val="00A07D4B"/>
    <w:rsid w:val="00A4678F"/>
    <w:rsid w:val="00A46B77"/>
    <w:rsid w:val="00A600B5"/>
    <w:rsid w:val="00A80AD9"/>
    <w:rsid w:val="00AD0DE5"/>
    <w:rsid w:val="00AD5D68"/>
    <w:rsid w:val="00AF0964"/>
    <w:rsid w:val="00AF7C22"/>
    <w:rsid w:val="00B05786"/>
    <w:rsid w:val="00B076B4"/>
    <w:rsid w:val="00B75F45"/>
    <w:rsid w:val="00BC079D"/>
    <w:rsid w:val="00BC288A"/>
    <w:rsid w:val="00BE65CF"/>
    <w:rsid w:val="00BF6600"/>
    <w:rsid w:val="00C362BB"/>
    <w:rsid w:val="00C74864"/>
    <w:rsid w:val="00C774DB"/>
    <w:rsid w:val="00CC3FC6"/>
    <w:rsid w:val="00D20688"/>
    <w:rsid w:val="00D330E6"/>
    <w:rsid w:val="00D41C87"/>
    <w:rsid w:val="00D431E8"/>
    <w:rsid w:val="00D476AE"/>
    <w:rsid w:val="00D72EE0"/>
    <w:rsid w:val="00D91ABE"/>
    <w:rsid w:val="00DE1D35"/>
    <w:rsid w:val="00E0717B"/>
    <w:rsid w:val="00E0732D"/>
    <w:rsid w:val="00E20E5C"/>
    <w:rsid w:val="00E22C5E"/>
    <w:rsid w:val="00E40985"/>
    <w:rsid w:val="00E7472E"/>
    <w:rsid w:val="00E91880"/>
    <w:rsid w:val="00E956BC"/>
    <w:rsid w:val="00EA6450"/>
    <w:rsid w:val="00EC04CC"/>
    <w:rsid w:val="00EC2DF7"/>
    <w:rsid w:val="00ED003C"/>
    <w:rsid w:val="00ED2146"/>
    <w:rsid w:val="00EE46B8"/>
    <w:rsid w:val="00F13DFA"/>
    <w:rsid w:val="00F40F12"/>
    <w:rsid w:val="00F42160"/>
    <w:rsid w:val="00F55774"/>
    <w:rsid w:val="00F81415"/>
    <w:rsid w:val="00F92214"/>
    <w:rsid w:val="00FA50C0"/>
    <w:rsid w:val="00FD0472"/>
    <w:rsid w:val="00FE0B1D"/>
    <w:rsid w:val="00FF6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416A9D"/>
  <w15:docId w15:val="{4BE688E4-97FD-4F0F-AD9B-8BF88DC09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56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073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780F2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80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fadeinm1hgl8">
    <w:name w:val="_fadein_m1hgl_8"/>
    <w:basedOn w:val="DefaultParagraphFont"/>
    <w:rsid w:val="000708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28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C4560-4DB4-4A86-98D6-20AD7B2EB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984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NICHITA ELENA-MIRELA</dc:creator>
  <cp:lastModifiedBy>IVASCU SILVIA</cp:lastModifiedBy>
  <cp:revision>80</cp:revision>
  <dcterms:created xsi:type="dcterms:W3CDTF">2025-06-13T01:53:00Z</dcterms:created>
  <dcterms:modified xsi:type="dcterms:W3CDTF">2026-10-21T12:25:00Z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fa7e2878-0e77-4c4a-9861-fc2806511648</vt:lpwstr>
  </property>
</Properties>
</file>